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78AAC920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449B0311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 w:rsidRPr="0068170D">
        <w:rPr>
          <w:b/>
          <w:bCs/>
          <w:color w:val="000000"/>
          <w:sz w:val="24"/>
          <w:szCs w:val="24"/>
          <w:lang w:val="ru-RU"/>
        </w:rPr>
        <w:t>10400 Науки о земле и окружающей среде</w:t>
      </w:r>
    </w:p>
    <w:p w14:paraId="09D171B4" w14:textId="6D9B5C43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(специальность 25.0</w:t>
      </w:r>
      <w:r w:rsidR="00C15EBD">
        <w:rPr>
          <w:b/>
          <w:bCs/>
          <w:color w:val="000000"/>
          <w:sz w:val="24"/>
          <w:szCs w:val="24"/>
          <w:lang w:val="ru-RU"/>
        </w:rPr>
        <w:t>6</w:t>
      </w:r>
      <w:r w:rsidRPr="0068170D">
        <w:rPr>
          <w:b/>
          <w:bCs/>
          <w:color w:val="000000"/>
          <w:sz w:val="24"/>
          <w:szCs w:val="24"/>
          <w:lang w:val="ru-RU"/>
        </w:rPr>
        <w:t>.00 – Гео</w:t>
      </w:r>
      <w:r w:rsidR="00C15EBD">
        <w:rPr>
          <w:b/>
          <w:bCs/>
          <w:color w:val="000000"/>
          <w:sz w:val="24"/>
          <w:szCs w:val="24"/>
          <w:lang w:val="ru-RU"/>
        </w:rPr>
        <w:t>дезия и маркшейдерия</w:t>
      </w:r>
      <w:r w:rsidRPr="0068170D">
        <w:rPr>
          <w:b/>
          <w:bCs/>
          <w:color w:val="000000"/>
          <w:sz w:val="24"/>
          <w:szCs w:val="24"/>
          <w:lang w:val="ru-RU"/>
        </w:rPr>
        <w:t>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103"/>
      </w:tblGrid>
      <w:tr w:rsidR="005B3C1A" w:rsidRPr="006970FD" w14:paraId="7C44C3A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5DABA111" w:rsidR="00C62F7E" w:rsidRPr="00C62F7E" w:rsidRDefault="00F80475" w:rsidP="00F7586D">
            <w:pPr>
              <w:spacing w:after="0" w:line="240" w:lineRule="auto"/>
              <w:ind w:left="6" w:righ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Низаметдинов Наиль Фаритович</w:t>
            </w:r>
          </w:p>
          <w:p w14:paraId="421D61FB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000E8C" w14:paraId="2432CF7B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903D6" w14:textId="4149EA17" w:rsidR="00F7586D" w:rsidRDefault="00F7586D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Кандидат технических наук по специальности 25.00.16 – Горнопромышленная и нефтегазопромысловая геология, геофизика, маркшейдерское дело и геометрия недр</w:t>
            </w:r>
          </w:p>
          <w:p w14:paraId="4A6BCA0A" w14:textId="77BEAA23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 xml:space="preserve"> (</w:t>
            </w:r>
            <w:r w:rsidR="00F7586D">
              <w:rPr>
                <w:sz w:val="24"/>
                <w:szCs w:val="24"/>
                <w:lang w:val="ru-RU"/>
              </w:rPr>
              <w:t xml:space="preserve">Решение Комитета по контролю в сфере образования и науки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МОН РК 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 xml:space="preserve">протокол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№ 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25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.20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2C4DFF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C62F7E" w14:paraId="048DAB15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F407C5" w:rsidRDefault="002C2226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96B12" w14:paraId="43B646E9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7B84E4" w:rsidR="00DE2C7F" w:rsidRPr="00DE2C7F" w:rsidRDefault="009C345F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kk-KZ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000E8C" w14:paraId="0D086366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737D5C68" w:rsidR="00314C59" w:rsidRPr="00C953FC" w:rsidRDefault="00F7586D" w:rsidP="00F7586D">
            <w:pPr>
              <w:pStyle w:val="a3"/>
              <w:tabs>
                <w:tab w:val="left" w:pos="280"/>
              </w:tabs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953FC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C953FC">
              <w:rPr>
                <w:sz w:val="24"/>
                <w:szCs w:val="24"/>
                <w:lang w:val="ru-RU"/>
              </w:rPr>
              <w:t>.</w:t>
            </w:r>
            <w:r w:rsidR="003810B0" w:rsidRPr="00C953FC">
              <w:rPr>
                <w:sz w:val="24"/>
                <w:szCs w:val="24"/>
                <w:lang w:val="ru-RU"/>
              </w:rPr>
              <w:t xml:space="preserve"> доцента</w:t>
            </w:r>
            <w:r w:rsidRPr="00C953FC">
              <w:rPr>
                <w:sz w:val="24"/>
                <w:szCs w:val="24"/>
                <w:lang w:val="ru-RU"/>
              </w:rPr>
              <w:t xml:space="preserve"> кафедр</w:t>
            </w:r>
            <w:r w:rsidR="003810B0" w:rsidRPr="00C953FC">
              <w:rPr>
                <w:sz w:val="24"/>
                <w:szCs w:val="24"/>
                <w:lang w:val="ru-RU"/>
              </w:rPr>
              <w:t>ы</w:t>
            </w:r>
            <w:r w:rsidRPr="00C953FC">
              <w:rPr>
                <w:sz w:val="24"/>
                <w:szCs w:val="24"/>
                <w:lang w:val="ru-RU"/>
              </w:rPr>
              <w:t xml:space="preserve"> Маркшейдерского дела и геодезии (приказ №6</w:t>
            </w:r>
            <w:r w:rsidR="00C953FC" w:rsidRPr="00C953FC">
              <w:rPr>
                <w:sz w:val="24"/>
                <w:szCs w:val="24"/>
                <w:lang w:val="ru-RU"/>
              </w:rPr>
              <w:t>21</w:t>
            </w:r>
            <w:r w:rsidRPr="00C953FC">
              <w:rPr>
                <w:sz w:val="24"/>
                <w:szCs w:val="24"/>
                <w:lang w:val="ru-RU"/>
              </w:rPr>
              <w:t xml:space="preserve">лс от </w:t>
            </w:r>
            <w:r w:rsidR="00C953FC" w:rsidRPr="00C953FC">
              <w:rPr>
                <w:sz w:val="24"/>
                <w:szCs w:val="24"/>
                <w:lang w:val="ru-RU"/>
              </w:rPr>
              <w:t>01</w:t>
            </w:r>
            <w:r w:rsidRPr="00C953FC">
              <w:rPr>
                <w:sz w:val="24"/>
                <w:szCs w:val="24"/>
                <w:lang w:val="ru-RU"/>
              </w:rPr>
              <w:t>.0</w:t>
            </w:r>
            <w:r w:rsidR="00C953FC" w:rsidRPr="00C953FC">
              <w:rPr>
                <w:sz w:val="24"/>
                <w:szCs w:val="24"/>
                <w:lang w:val="ru-RU"/>
              </w:rPr>
              <w:t>9</w:t>
            </w:r>
            <w:r w:rsidRPr="00C953FC">
              <w:rPr>
                <w:sz w:val="24"/>
                <w:szCs w:val="24"/>
                <w:lang w:val="ru-RU"/>
              </w:rPr>
              <w:t>.20</w:t>
            </w:r>
            <w:r w:rsidR="00C953FC" w:rsidRPr="00C953FC">
              <w:rPr>
                <w:sz w:val="24"/>
                <w:szCs w:val="24"/>
                <w:lang w:val="ru-RU"/>
              </w:rPr>
              <w:t>22</w:t>
            </w:r>
            <w:r w:rsidRPr="00C953FC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000E8C" w14:paraId="3873C633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1D815293" w:rsidR="00C62F7E" w:rsidRPr="00C953FC" w:rsidRDefault="005106F0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953FC">
              <w:rPr>
                <w:sz w:val="24"/>
                <w:szCs w:val="24"/>
                <w:lang w:val="ru-RU"/>
              </w:rPr>
              <w:t>Всего</w:t>
            </w:r>
            <w:r w:rsidR="00F407C5" w:rsidRPr="00C953FC">
              <w:rPr>
                <w:sz w:val="24"/>
                <w:szCs w:val="24"/>
                <w:lang w:val="ru-RU"/>
              </w:rPr>
              <w:t xml:space="preserve"> </w:t>
            </w:r>
            <w:r w:rsidR="00296D93" w:rsidRPr="00C953FC">
              <w:rPr>
                <w:sz w:val="24"/>
                <w:szCs w:val="24"/>
                <w:lang w:val="ru-RU"/>
              </w:rPr>
              <w:t>19</w:t>
            </w:r>
            <w:r w:rsidRPr="00C953FC">
              <w:rPr>
                <w:sz w:val="24"/>
                <w:szCs w:val="24"/>
                <w:lang w:val="ru-RU"/>
              </w:rPr>
              <w:t xml:space="preserve"> лет,</w:t>
            </w:r>
            <w:r w:rsidR="004C0971" w:rsidRPr="00C953FC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C953FC">
              <w:rPr>
                <w:sz w:val="24"/>
                <w:szCs w:val="24"/>
                <w:lang w:val="ru-RU"/>
              </w:rPr>
              <w:t>, в должности</w:t>
            </w:r>
            <w:r w:rsidR="00F7586D" w:rsidRPr="00C9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6D93" w:rsidRPr="00C953FC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296D93" w:rsidRPr="00C953FC">
              <w:rPr>
                <w:sz w:val="24"/>
                <w:szCs w:val="24"/>
                <w:lang w:val="ru-RU"/>
              </w:rPr>
              <w:t xml:space="preserve"> доцента</w:t>
            </w:r>
            <w:r w:rsidR="00B41407" w:rsidRPr="00C953FC">
              <w:rPr>
                <w:sz w:val="24"/>
                <w:szCs w:val="24"/>
                <w:lang w:val="ru-RU"/>
              </w:rPr>
              <w:t xml:space="preserve"> – </w:t>
            </w:r>
            <w:r w:rsidR="00C5780C">
              <w:rPr>
                <w:sz w:val="24"/>
                <w:szCs w:val="24"/>
                <w:lang w:val="ru-RU"/>
              </w:rPr>
              <w:t xml:space="preserve">2,5 </w:t>
            </w:r>
            <w:r w:rsidR="00C953FC" w:rsidRPr="00C953FC">
              <w:rPr>
                <w:sz w:val="24"/>
                <w:szCs w:val="24"/>
                <w:lang w:val="ru-RU"/>
              </w:rPr>
              <w:t>года</w:t>
            </w:r>
            <w:r w:rsidR="00B41407" w:rsidRPr="00C953FC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B3C1A" w:rsidRPr="00C5780C" w14:paraId="0380351C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7EF8" w14:textId="77777777" w:rsidR="00496B12" w:rsidRDefault="00496B12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  <w:p w14:paraId="6C9AA386" w14:textId="32BAD253" w:rsidR="00C62F7E" w:rsidRPr="00777198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Всего</w:t>
            </w:r>
            <w:r w:rsidR="0013045B" w:rsidRPr="00777198">
              <w:rPr>
                <w:sz w:val="24"/>
                <w:szCs w:val="24"/>
                <w:lang w:val="ru-RU"/>
              </w:rPr>
              <w:t xml:space="preserve"> </w:t>
            </w:r>
            <w:r w:rsidR="0068170D" w:rsidRPr="00496B1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C5780C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777198">
              <w:rPr>
                <w:sz w:val="24"/>
                <w:szCs w:val="24"/>
                <w:lang w:val="ru-RU"/>
              </w:rPr>
              <w:t>,</w:t>
            </w:r>
            <w:r w:rsidR="006D65B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="00E92356" w:rsidRPr="00777198">
              <w:rPr>
                <w:sz w:val="24"/>
                <w:szCs w:val="24"/>
                <w:lang w:val="ru-RU"/>
              </w:rPr>
              <w:t>том числе</w:t>
            </w:r>
            <w:r w:rsidR="00C539DE">
              <w:rPr>
                <w:sz w:val="24"/>
                <w:szCs w:val="24"/>
                <w:lang w:val="ru-RU"/>
              </w:rPr>
              <w:t xml:space="preserve"> </w:t>
            </w:r>
            <w:r w:rsidR="00C341A9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C539DE" w:rsidRPr="00515A46">
              <w:rPr>
                <w:sz w:val="24"/>
                <w:szCs w:val="24"/>
                <w:lang w:val="ru-RU"/>
              </w:rPr>
              <w:t xml:space="preserve"> стат</w:t>
            </w:r>
            <w:r w:rsidR="0077698C">
              <w:rPr>
                <w:sz w:val="24"/>
                <w:szCs w:val="24"/>
                <w:lang w:val="ru-RU"/>
              </w:rPr>
              <w:t>ьи</w:t>
            </w:r>
            <w:r w:rsidR="00C539DE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777198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777198">
              <w:rPr>
                <w:sz w:val="24"/>
                <w:szCs w:val="24"/>
              </w:rPr>
              <w:t>Scopus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>)</w:t>
            </w:r>
            <w:r w:rsidR="00C341A9">
              <w:rPr>
                <w:sz w:val="24"/>
                <w:szCs w:val="24"/>
                <w:lang w:val="ru-RU"/>
              </w:rPr>
              <w:t xml:space="preserve">, из них </w:t>
            </w:r>
            <w:r w:rsidR="00C341A9" w:rsidRPr="00C341A9"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E92356" w:rsidRPr="00C341A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r w:rsidR="00C539DE" w:rsidRPr="00496B12">
              <w:rPr>
                <w:b/>
                <w:bCs/>
                <w:sz w:val="24"/>
                <w:szCs w:val="24"/>
                <w:lang w:val="ru-RU"/>
              </w:rPr>
              <w:t>35</w:t>
            </w:r>
            <w:r w:rsidR="00395F72" w:rsidRPr="00395F72">
              <w:rPr>
                <w:sz w:val="24"/>
                <w:szCs w:val="24"/>
                <w:lang w:val="ru-RU"/>
              </w:rPr>
              <w:t>;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 </w:t>
            </w:r>
            <w:r w:rsidR="00395F72" w:rsidRPr="00395F72"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C539DE">
              <w:rPr>
                <w:sz w:val="24"/>
                <w:szCs w:val="24"/>
                <w:lang w:val="ru-RU"/>
              </w:rPr>
              <w:t xml:space="preserve"> статей </w:t>
            </w:r>
            <w:r w:rsidR="00E92356" w:rsidRPr="00777198">
              <w:rPr>
                <w:sz w:val="24"/>
                <w:szCs w:val="24"/>
                <w:lang w:val="ru-RU"/>
              </w:rPr>
              <w:t>в изданиях</w:t>
            </w:r>
            <w:r w:rsidR="00BB7984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1645BF">
              <w:rPr>
                <w:sz w:val="24"/>
                <w:szCs w:val="24"/>
                <w:lang w:val="ru-RU"/>
              </w:rPr>
              <w:t>; в</w:t>
            </w:r>
            <w:r w:rsidR="00C13E91">
              <w:rPr>
                <w:sz w:val="24"/>
                <w:szCs w:val="24"/>
                <w:lang w:val="ru-RU"/>
              </w:rPr>
              <w:t xml:space="preserve"> других изданиях</w:t>
            </w:r>
            <w:r w:rsidR="00904C9F">
              <w:rPr>
                <w:sz w:val="24"/>
                <w:szCs w:val="24"/>
                <w:lang w:val="ru-RU"/>
              </w:rPr>
              <w:t xml:space="preserve"> </w:t>
            </w:r>
            <w:r w:rsidR="00C5780C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904C9F">
              <w:rPr>
                <w:sz w:val="24"/>
                <w:szCs w:val="24"/>
                <w:lang w:val="ru-RU"/>
              </w:rPr>
              <w:t xml:space="preserve"> статей</w:t>
            </w:r>
            <w:r w:rsidR="00C13E91">
              <w:rPr>
                <w:sz w:val="24"/>
                <w:szCs w:val="24"/>
                <w:lang w:val="ru-RU"/>
              </w:rPr>
              <w:t>.</w:t>
            </w:r>
            <w:r w:rsidR="00395F72" w:rsidRPr="00395F72">
              <w:rPr>
                <w:sz w:val="24"/>
                <w:szCs w:val="24"/>
                <w:lang w:val="ru-RU"/>
              </w:rPr>
              <w:t xml:space="preserve"> </w:t>
            </w:r>
            <w:r w:rsidR="00496B12" w:rsidRPr="0089398F">
              <w:rPr>
                <w:sz w:val="24"/>
                <w:szCs w:val="24"/>
                <w:lang w:val="kk-KZ"/>
              </w:rPr>
              <w:t xml:space="preserve">Индекс Хирша по </w:t>
            </w:r>
            <w:proofErr w:type="spellStart"/>
            <w:r w:rsidR="00496B12" w:rsidRPr="0089398F">
              <w:rPr>
                <w:sz w:val="24"/>
                <w:szCs w:val="24"/>
              </w:rPr>
              <w:t>Sco</w:t>
            </w:r>
            <w:proofErr w:type="spellEnd"/>
            <w:r w:rsidR="00496B12" w:rsidRPr="0089398F">
              <w:rPr>
                <w:sz w:val="24"/>
                <w:szCs w:val="24"/>
                <w:lang w:val="kk-KZ"/>
              </w:rPr>
              <w:t>pus</w:t>
            </w:r>
            <w:r w:rsidR="00496B12" w:rsidRPr="00496B12">
              <w:rPr>
                <w:sz w:val="24"/>
                <w:szCs w:val="24"/>
                <w:lang w:val="ru-RU"/>
              </w:rPr>
              <w:t xml:space="preserve"> = </w:t>
            </w:r>
            <w:r w:rsidR="00057217">
              <w:rPr>
                <w:b/>
                <w:sz w:val="24"/>
                <w:szCs w:val="24"/>
                <w:lang w:val="kk-KZ"/>
              </w:rPr>
              <w:t>3</w:t>
            </w:r>
            <w:r w:rsidR="00496B12" w:rsidRPr="00496B12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000E8C" w14:paraId="55A9910B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5D0" w14:textId="38F61FE4" w:rsidR="005401B2" w:rsidRPr="008C1EEE" w:rsidRDefault="005A4B55" w:rsidP="00F7586D">
            <w:pPr>
              <w:spacing w:after="0" w:line="240" w:lineRule="auto"/>
              <w:ind w:left="6" w:right="6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0" w:name="_Hlk147157021"/>
            <w:r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Pr="005A4B55">
              <w:rPr>
                <w:color w:val="191919"/>
                <w:sz w:val="24"/>
                <w:szCs w:val="24"/>
                <w:lang w:val="ru-RU" w:eastAsia="ru-RU"/>
              </w:rPr>
              <w:t>Издан</w:t>
            </w:r>
            <w:bookmarkEnd w:id="0"/>
            <w:r w:rsidR="00C341A9">
              <w:rPr>
                <w:color w:val="191919"/>
                <w:sz w:val="24"/>
                <w:szCs w:val="24"/>
                <w:lang w:val="ru-RU" w:eastAsia="ru-RU"/>
              </w:rPr>
              <w:t xml:space="preserve">а </w:t>
            </w:r>
            <w:r w:rsidR="00C341A9" w:rsidRPr="00C341A9">
              <w:rPr>
                <w:b/>
                <w:bCs/>
                <w:color w:val="191919"/>
                <w:sz w:val="24"/>
                <w:szCs w:val="24"/>
                <w:lang w:val="ru-RU" w:eastAsia="ru-RU"/>
              </w:rPr>
              <w:t>1</w:t>
            </w:r>
            <w:r w:rsidR="00C341A9"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="008C1EEE">
              <w:rPr>
                <w:color w:val="000000"/>
                <w:spacing w:val="2"/>
                <w:sz w:val="24"/>
                <w:szCs w:val="24"/>
                <w:lang w:val="ru-RU"/>
              </w:rPr>
              <w:t>монографи</w:t>
            </w:r>
            <w:r w:rsidR="00C341A9">
              <w:rPr>
                <w:color w:val="000000"/>
                <w:spacing w:val="2"/>
                <w:sz w:val="24"/>
                <w:szCs w:val="24"/>
                <w:lang w:val="ru-RU"/>
              </w:rPr>
              <w:t>я</w:t>
            </w:r>
            <w:r w:rsidR="008C1EEE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E5494F" w:rsidRPr="005A4B55">
              <w:rPr>
                <w:color w:val="000000"/>
                <w:spacing w:val="2"/>
                <w:sz w:val="24"/>
                <w:szCs w:val="24"/>
                <w:lang w:val="kk-KZ"/>
              </w:rPr>
              <w:t>рекомендованн</w:t>
            </w:r>
            <w:r w:rsidR="00E5494F">
              <w:rPr>
                <w:color w:val="000000"/>
                <w:spacing w:val="2"/>
                <w:sz w:val="24"/>
                <w:szCs w:val="24"/>
                <w:lang w:val="kk-KZ"/>
              </w:rPr>
              <w:t>ые</w:t>
            </w:r>
            <w:r w:rsidR="00E5494F" w:rsidRPr="005A4B55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Ученым советом</w:t>
            </w:r>
            <w:r w:rsidR="00E5494F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вуза</w:t>
            </w:r>
          </w:p>
          <w:p w14:paraId="5C26C03B" w14:textId="08381D3B" w:rsidR="005A4B55" w:rsidRPr="008119FF" w:rsidRDefault="005A4B55" w:rsidP="001645BF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000E8C" w14:paraId="1261A74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5CE3AFC7" w:rsidR="00C62F7E" w:rsidRPr="00AB19E4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000E8C" w14:paraId="7DACFBED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5B0C1D53" w:rsidR="00C62F7E" w:rsidRPr="0068170D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C62F7E" w14:paraId="306871EC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4C7F24" w:rsidRDefault="005B3C1A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307DE" w:rsidRPr="00C5780C" w14:paraId="6A852B3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AAB6D" w14:textId="3691C02E" w:rsidR="00315F20" w:rsidRPr="001645BF" w:rsidRDefault="001645BF" w:rsidP="001645BF">
            <w:pPr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E1409">
              <w:rPr>
                <w:sz w:val="24"/>
                <w:szCs w:val="24"/>
                <w:lang w:val="ru-RU"/>
              </w:rPr>
              <w:t>1</w:t>
            </w:r>
            <w:r w:rsidR="00496B12" w:rsidRPr="001645BF">
              <w:rPr>
                <w:sz w:val="24"/>
                <w:szCs w:val="24"/>
                <w:lang w:val="ru-RU"/>
              </w:rPr>
              <w:t>.</w:t>
            </w:r>
            <w:r w:rsidR="00FE1409">
              <w:rPr>
                <w:sz w:val="24"/>
                <w:szCs w:val="24"/>
                <w:lang w:val="ru-RU"/>
              </w:rPr>
              <w:t xml:space="preserve">Юбилейная медаль «100 лет Академику А.С. </w:t>
            </w:r>
            <w:proofErr w:type="spellStart"/>
            <w:r w:rsidR="00FE1409">
              <w:rPr>
                <w:sz w:val="24"/>
                <w:szCs w:val="24"/>
                <w:lang w:val="ru-RU"/>
              </w:rPr>
              <w:t>Сагинову</w:t>
            </w:r>
            <w:proofErr w:type="spellEnd"/>
            <w:r w:rsidR="00496B12" w:rsidRPr="001645BF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F4998" w:rsidRPr="001645BF">
              <w:rPr>
                <w:sz w:val="24"/>
                <w:szCs w:val="24"/>
                <w:lang w:val="ru-RU"/>
              </w:rPr>
              <w:t>(</w:t>
            </w:r>
            <w:r w:rsidR="00496B12" w:rsidRPr="001645BF">
              <w:rPr>
                <w:sz w:val="24"/>
                <w:szCs w:val="24"/>
                <w:lang w:val="ru-RU"/>
              </w:rPr>
              <w:t>201</w:t>
            </w:r>
            <w:r w:rsidR="00EE5395">
              <w:rPr>
                <w:sz w:val="24"/>
                <w:szCs w:val="24"/>
                <w:lang w:val="ru-RU"/>
              </w:rPr>
              <w:t>5</w:t>
            </w:r>
            <w:r w:rsidR="00496B12" w:rsidRPr="001645BF">
              <w:rPr>
                <w:sz w:val="24"/>
                <w:szCs w:val="24"/>
                <w:lang w:val="ru-RU"/>
              </w:rPr>
              <w:t>г</w:t>
            </w:r>
            <w:r w:rsidR="00A07CFF" w:rsidRPr="001645BF">
              <w:rPr>
                <w:sz w:val="24"/>
                <w:szCs w:val="24"/>
                <w:lang w:val="ru-RU"/>
              </w:rPr>
              <w:t>.)</w:t>
            </w:r>
            <w:r w:rsidR="00BF4998" w:rsidRPr="001645BF">
              <w:rPr>
                <w:sz w:val="24"/>
                <w:szCs w:val="24"/>
                <w:lang w:val="ru-RU"/>
              </w:rPr>
              <w:t>;</w:t>
            </w:r>
            <w:r w:rsidR="00496B12" w:rsidRPr="001645BF">
              <w:rPr>
                <w:sz w:val="24"/>
                <w:szCs w:val="24"/>
                <w:lang w:val="ru-RU"/>
              </w:rPr>
              <w:t xml:space="preserve"> </w:t>
            </w:r>
          </w:p>
          <w:p w14:paraId="3244F04F" w14:textId="45E342AF" w:rsidR="00496B12" w:rsidRDefault="001645BF" w:rsidP="00EE5395">
            <w:pPr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EE5395">
              <w:rPr>
                <w:sz w:val="24"/>
                <w:szCs w:val="24"/>
                <w:lang w:val="ru-RU"/>
              </w:rPr>
              <w:t>2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>Член</w:t>
            </w:r>
            <w:r w:rsidR="00EE5395">
              <w:rPr>
                <w:sz w:val="24"/>
                <w:szCs w:val="24"/>
                <w:lang w:val="ru-RU"/>
              </w:rPr>
              <w:t xml:space="preserve"> международного союза маркшейдеров </w:t>
            </w:r>
            <w:r w:rsidR="00EE5395">
              <w:rPr>
                <w:sz w:val="24"/>
                <w:szCs w:val="24"/>
              </w:rPr>
              <w:t>ISM</w:t>
            </w:r>
            <w:r w:rsidR="00A07CFF">
              <w:rPr>
                <w:sz w:val="24"/>
                <w:szCs w:val="24"/>
                <w:lang w:val="ru-RU"/>
              </w:rPr>
              <w:t>;</w:t>
            </w:r>
          </w:p>
          <w:p w14:paraId="745B3820" w14:textId="354231D3" w:rsidR="008119FF" w:rsidRPr="00C539DE" w:rsidRDefault="00C5780C" w:rsidP="00CF04DE">
            <w:pPr>
              <w:tabs>
                <w:tab w:val="left" w:pos="123"/>
              </w:tabs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 xml:space="preserve"> </w:t>
            </w:r>
            <w:r w:rsidR="00984002">
              <w:rPr>
                <w:sz w:val="24"/>
                <w:szCs w:val="24"/>
                <w:lang w:val="ru-RU"/>
              </w:rPr>
              <w:t xml:space="preserve">Руководитель проекта </w:t>
            </w:r>
            <w:r w:rsidR="00984002">
              <w:rPr>
                <w:sz w:val="24"/>
                <w:szCs w:val="24"/>
              </w:rPr>
              <w:t>AP</w:t>
            </w:r>
            <w:r w:rsidR="00984002" w:rsidRPr="00984002">
              <w:rPr>
                <w:sz w:val="24"/>
                <w:szCs w:val="24"/>
                <w:lang w:val="ru-RU"/>
              </w:rPr>
              <w:t xml:space="preserve">22788508 </w:t>
            </w:r>
            <w:r w:rsidR="00984002">
              <w:rPr>
                <w:sz w:val="24"/>
                <w:szCs w:val="24"/>
                <w:lang w:val="ru-RU"/>
              </w:rPr>
              <w:t xml:space="preserve">«Разработка методических подходов мониторинга состояния критически важных гидротехнических </w:t>
            </w:r>
            <w:proofErr w:type="spellStart"/>
            <w:r w:rsidR="00984002">
              <w:rPr>
                <w:sz w:val="24"/>
                <w:szCs w:val="24"/>
                <w:lang w:val="ru-RU"/>
              </w:rPr>
              <w:t>оъектов</w:t>
            </w:r>
            <w:proofErr w:type="spellEnd"/>
            <w:r w:rsidR="00984002">
              <w:rPr>
                <w:sz w:val="24"/>
                <w:szCs w:val="24"/>
                <w:lang w:val="ru-RU"/>
              </w:rPr>
              <w:t xml:space="preserve"> инфраструктуры Казахстана с применением бе</w:t>
            </w:r>
            <w:r w:rsidR="00DC57E8">
              <w:rPr>
                <w:sz w:val="24"/>
                <w:szCs w:val="24"/>
                <w:lang w:val="ru-RU"/>
              </w:rPr>
              <w:t xml:space="preserve">спилотных </w:t>
            </w:r>
            <w:proofErr w:type="spellStart"/>
            <w:r w:rsidR="00DC57E8">
              <w:rPr>
                <w:sz w:val="24"/>
                <w:szCs w:val="24"/>
                <w:lang w:val="ru-RU"/>
              </w:rPr>
              <w:t>летатьлых</w:t>
            </w:r>
            <w:proofErr w:type="spellEnd"/>
            <w:r w:rsidR="00DC57E8">
              <w:rPr>
                <w:sz w:val="24"/>
                <w:szCs w:val="24"/>
                <w:lang w:val="ru-RU"/>
              </w:rPr>
              <w:t xml:space="preserve"> аппаратов и дистанционного зондирования Земли»</w:t>
            </w:r>
            <w:r w:rsidR="00361CC8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(</w:t>
            </w:r>
            <w:r w:rsidR="00361CC8">
              <w:rPr>
                <w:sz w:val="24"/>
                <w:szCs w:val="24"/>
                <w:lang w:val="ru-RU"/>
              </w:rPr>
              <w:t>П</w:t>
            </w:r>
            <w:r w:rsidR="008119FF">
              <w:rPr>
                <w:sz w:val="24"/>
                <w:szCs w:val="24"/>
                <w:lang w:val="ru-RU"/>
              </w:rPr>
              <w:t>риказ №</w:t>
            </w:r>
            <w:r w:rsidR="00DC57E8">
              <w:rPr>
                <w:sz w:val="24"/>
                <w:szCs w:val="24"/>
                <w:lang w:val="ru-RU"/>
              </w:rPr>
              <w:t>212</w:t>
            </w:r>
            <w:r w:rsidR="008119FF">
              <w:rPr>
                <w:sz w:val="24"/>
                <w:szCs w:val="24"/>
                <w:lang w:val="ru-RU"/>
              </w:rPr>
              <w:t xml:space="preserve"> от </w:t>
            </w:r>
            <w:r w:rsidR="00DC57E8">
              <w:rPr>
                <w:sz w:val="24"/>
                <w:szCs w:val="24"/>
                <w:lang w:val="ru-RU"/>
              </w:rPr>
              <w:t>05</w:t>
            </w:r>
            <w:r w:rsidR="008119FF">
              <w:rPr>
                <w:sz w:val="24"/>
                <w:szCs w:val="24"/>
                <w:lang w:val="ru-RU"/>
              </w:rPr>
              <w:t>.0</w:t>
            </w:r>
            <w:r w:rsidR="00DC57E8">
              <w:rPr>
                <w:sz w:val="24"/>
                <w:szCs w:val="24"/>
                <w:lang w:val="ru-RU"/>
              </w:rPr>
              <w:t>8</w:t>
            </w:r>
            <w:r w:rsidR="008119FF">
              <w:rPr>
                <w:sz w:val="24"/>
                <w:szCs w:val="24"/>
                <w:lang w:val="ru-RU"/>
              </w:rPr>
              <w:t>.202</w:t>
            </w:r>
            <w:r w:rsidR="00DC57E8">
              <w:rPr>
                <w:sz w:val="24"/>
                <w:szCs w:val="24"/>
                <w:lang w:val="ru-RU"/>
              </w:rPr>
              <w:t>4</w:t>
            </w:r>
            <w:r w:rsidR="008119FF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5CA2A44A" w14:textId="55323229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01BB41EA" w14:textId="07DC5A85" w:rsidR="00C341A9" w:rsidRDefault="00C341A9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3350D03F" w:rsidR="00F26F10" w:rsidRDefault="00000E8C" w:rsidP="00000E8C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191919"/>
          <w:szCs w:val="28"/>
          <w:lang w:val="ru-RU"/>
        </w:rPr>
        <w:t xml:space="preserve">Зав. каф. </w:t>
      </w:r>
      <w:proofErr w:type="spellStart"/>
      <w:r>
        <w:rPr>
          <w:b/>
          <w:color w:val="191919"/>
          <w:szCs w:val="28"/>
          <w:lang w:val="ru-RU"/>
        </w:rPr>
        <w:t>МДиГ</w:t>
      </w:r>
      <w:proofErr w:type="spellEnd"/>
      <w:r>
        <w:rPr>
          <w:b/>
          <w:color w:val="191919"/>
          <w:szCs w:val="28"/>
          <w:lang w:val="ru-RU"/>
        </w:rPr>
        <w:t xml:space="preserve">  </w:t>
      </w:r>
      <w:r w:rsidR="006359C7" w:rsidRPr="006359C7">
        <w:rPr>
          <w:b/>
          <w:color w:val="191919"/>
          <w:szCs w:val="28"/>
          <w:lang w:val="ru-RU"/>
        </w:rPr>
        <w:tab/>
      </w:r>
      <w:r w:rsidR="006359C7" w:rsidRPr="006359C7">
        <w:rPr>
          <w:b/>
          <w:color w:val="191919"/>
          <w:szCs w:val="28"/>
          <w:lang w:val="ru-RU"/>
        </w:rPr>
        <w:tab/>
      </w:r>
      <w:r w:rsidR="006359C7" w:rsidRPr="006359C7">
        <w:rPr>
          <w:b/>
          <w:color w:val="191919"/>
          <w:szCs w:val="28"/>
          <w:lang w:val="ru-RU"/>
        </w:rPr>
        <w:tab/>
      </w:r>
      <w:r>
        <w:rPr>
          <w:b/>
          <w:color w:val="191919"/>
          <w:szCs w:val="28"/>
          <w:lang w:val="ru-RU"/>
        </w:rPr>
        <w:t>Хмырова Е.Н.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3636"/>
    <w:multiLevelType w:val="hybridMultilevel"/>
    <w:tmpl w:val="CDFA74CE"/>
    <w:lvl w:ilvl="0" w:tplc="C2666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00E8C"/>
    <w:rsid w:val="00012EE2"/>
    <w:rsid w:val="0003605C"/>
    <w:rsid w:val="00043D88"/>
    <w:rsid w:val="000558E0"/>
    <w:rsid w:val="00056B29"/>
    <w:rsid w:val="00057217"/>
    <w:rsid w:val="00100A81"/>
    <w:rsid w:val="0013045B"/>
    <w:rsid w:val="00132314"/>
    <w:rsid w:val="001645BF"/>
    <w:rsid w:val="00173D14"/>
    <w:rsid w:val="0019669A"/>
    <w:rsid w:val="001B7838"/>
    <w:rsid w:val="00232949"/>
    <w:rsid w:val="00233F68"/>
    <w:rsid w:val="00274C79"/>
    <w:rsid w:val="00276BD7"/>
    <w:rsid w:val="002806BF"/>
    <w:rsid w:val="00296D93"/>
    <w:rsid w:val="002A40D4"/>
    <w:rsid w:val="002A5916"/>
    <w:rsid w:val="002A6682"/>
    <w:rsid w:val="002A780E"/>
    <w:rsid w:val="002B3A26"/>
    <w:rsid w:val="002B68BD"/>
    <w:rsid w:val="002C2226"/>
    <w:rsid w:val="002C4DFF"/>
    <w:rsid w:val="002C5A9B"/>
    <w:rsid w:val="002D185D"/>
    <w:rsid w:val="00305890"/>
    <w:rsid w:val="00314C59"/>
    <w:rsid w:val="00315F20"/>
    <w:rsid w:val="003307DE"/>
    <w:rsid w:val="00361CC8"/>
    <w:rsid w:val="003810B0"/>
    <w:rsid w:val="00384908"/>
    <w:rsid w:val="00395F72"/>
    <w:rsid w:val="003964F7"/>
    <w:rsid w:val="00483B4A"/>
    <w:rsid w:val="00496B12"/>
    <w:rsid w:val="004C0971"/>
    <w:rsid w:val="004C7F24"/>
    <w:rsid w:val="005106F0"/>
    <w:rsid w:val="00512C0D"/>
    <w:rsid w:val="00514179"/>
    <w:rsid w:val="00515A46"/>
    <w:rsid w:val="005401B2"/>
    <w:rsid w:val="005A4B55"/>
    <w:rsid w:val="005B3BB7"/>
    <w:rsid w:val="005B3C1A"/>
    <w:rsid w:val="005B614D"/>
    <w:rsid w:val="005E7CD2"/>
    <w:rsid w:val="00620F1B"/>
    <w:rsid w:val="006359C7"/>
    <w:rsid w:val="00641E71"/>
    <w:rsid w:val="00681243"/>
    <w:rsid w:val="0068170D"/>
    <w:rsid w:val="00687204"/>
    <w:rsid w:val="006970FD"/>
    <w:rsid w:val="006D65B4"/>
    <w:rsid w:val="006E1B4F"/>
    <w:rsid w:val="00707EFA"/>
    <w:rsid w:val="007366D8"/>
    <w:rsid w:val="00763772"/>
    <w:rsid w:val="0077698C"/>
    <w:rsid w:val="00777198"/>
    <w:rsid w:val="007B1768"/>
    <w:rsid w:val="007D11BF"/>
    <w:rsid w:val="007E6EF6"/>
    <w:rsid w:val="007F2F12"/>
    <w:rsid w:val="008119FF"/>
    <w:rsid w:val="00890E6E"/>
    <w:rsid w:val="008A1CC6"/>
    <w:rsid w:val="008C1EEE"/>
    <w:rsid w:val="008E0DE9"/>
    <w:rsid w:val="008E4121"/>
    <w:rsid w:val="008F6E0D"/>
    <w:rsid w:val="00903C88"/>
    <w:rsid w:val="00904C9F"/>
    <w:rsid w:val="0090698A"/>
    <w:rsid w:val="00923A8E"/>
    <w:rsid w:val="009377CF"/>
    <w:rsid w:val="00984002"/>
    <w:rsid w:val="00990E8E"/>
    <w:rsid w:val="009B55FB"/>
    <w:rsid w:val="009C345F"/>
    <w:rsid w:val="00A04F41"/>
    <w:rsid w:val="00A07CFF"/>
    <w:rsid w:val="00A145AA"/>
    <w:rsid w:val="00A42AE3"/>
    <w:rsid w:val="00A73783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BF4998"/>
    <w:rsid w:val="00C02C6C"/>
    <w:rsid w:val="00C13E91"/>
    <w:rsid w:val="00C15EBD"/>
    <w:rsid w:val="00C341A9"/>
    <w:rsid w:val="00C41A8F"/>
    <w:rsid w:val="00C5166C"/>
    <w:rsid w:val="00C539DE"/>
    <w:rsid w:val="00C5780C"/>
    <w:rsid w:val="00C61486"/>
    <w:rsid w:val="00C62F7E"/>
    <w:rsid w:val="00C87080"/>
    <w:rsid w:val="00C953FC"/>
    <w:rsid w:val="00CA7CE8"/>
    <w:rsid w:val="00CC7387"/>
    <w:rsid w:val="00CF04DE"/>
    <w:rsid w:val="00D177CD"/>
    <w:rsid w:val="00DB32EA"/>
    <w:rsid w:val="00DC04AC"/>
    <w:rsid w:val="00DC57E8"/>
    <w:rsid w:val="00DE2C7F"/>
    <w:rsid w:val="00DE5D48"/>
    <w:rsid w:val="00E26259"/>
    <w:rsid w:val="00E5486D"/>
    <w:rsid w:val="00E5494F"/>
    <w:rsid w:val="00E57B11"/>
    <w:rsid w:val="00E62167"/>
    <w:rsid w:val="00E76B18"/>
    <w:rsid w:val="00E8101B"/>
    <w:rsid w:val="00E854EB"/>
    <w:rsid w:val="00E92356"/>
    <w:rsid w:val="00EA06C2"/>
    <w:rsid w:val="00EC61CC"/>
    <w:rsid w:val="00EE5395"/>
    <w:rsid w:val="00F21055"/>
    <w:rsid w:val="00F26F10"/>
    <w:rsid w:val="00F407C5"/>
    <w:rsid w:val="00F529AC"/>
    <w:rsid w:val="00F7586D"/>
    <w:rsid w:val="00F80475"/>
    <w:rsid w:val="00FA4893"/>
    <w:rsid w:val="00FD52F3"/>
    <w:rsid w:val="00FE140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1E97-E86E-46BA-8249-652427B1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Наиль Низаметдинов</cp:lastModifiedBy>
  <cp:revision>28</cp:revision>
  <cp:lastPrinted>2025-04-30T11:00:00Z</cp:lastPrinted>
  <dcterms:created xsi:type="dcterms:W3CDTF">2024-10-09T08:16:00Z</dcterms:created>
  <dcterms:modified xsi:type="dcterms:W3CDTF">2025-04-30T12:39:00Z</dcterms:modified>
</cp:coreProperties>
</file>