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:rsidR="008C6B24" w:rsidRDefault="008C6B24" w:rsidP="008C6B24">
      <w:pPr>
        <w:pStyle w:val="pj"/>
        <w:ind w:firstLine="0"/>
        <w:jc w:val="center"/>
        <w:rPr>
          <w:rStyle w:val="s0"/>
          <w:b/>
          <w:bCs/>
          <w:lang w:val="kk-KZ"/>
        </w:rPr>
      </w:pPr>
      <w:r w:rsidRPr="0068170D">
        <w:rPr>
          <w:b/>
          <w:bCs/>
        </w:rPr>
        <w:t xml:space="preserve">по </w:t>
      </w:r>
      <w:r w:rsidRPr="0068170D">
        <w:rPr>
          <w:b/>
          <w:bCs/>
          <w:lang w:val="kk-KZ"/>
        </w:rPr>
        <w:t xml:space="preserve">научному направлению </w:t>
      </w:r>
      <w:r w:rsidRPr="008C6B24">
        <w:rPr>
          <w:b/>
          <w:bCs/>
          <w:lang w:val="kk-KZ"/>
        </w:rPr>
        <w:t xml:space="preserve">20100 </w:t>
      </w:r>
      <w:r w:rsidR="00D56DEA" w:rsidRPr="00D56DEA">
        <w:rPr>
          <w:b/>
          <w:bCs/>
          <w:lang w:val="kk-KZ"/>
        </w:rPr>
        <w:t>Гражданский и транспортный инжиниринг</w:t>
      </w:r>
    </w:p>
    <w:p w:rsidR="008C6B24" w:rsidRPr="0068170D" w:rsidRDefault="008C6B24" w:rsidP="008C6B24">
      <w:pPr>
        <w:pStyle w:val="pj"/>
        <w:ind w:firstLine="0"/>
        <w:jc w:val="center"/>
        <w:rPr>
          <w:b/>
          <w:bCs/>
        </w:rPr>
      </w:pPr>
      <w:r w:rsidRPr="0068170D">
        <w:rPr>
          <w:b/>
          <w:bCs/>
        </w:rPr>
        <w:t xml:space="preserve">(специальность </w:t>
      </w:r>
      <w:r w:rsidR="006F049A">
        <w:rPr>
          <w:b/>
          <w:bCs/>
        </w:rPr>
        <w:t>05.23.00 – Строительство</w:t>
      </w:r>
      <w:r w:rsidRPr="0068170D">
        <w:rPr>
          <w:b/>
          <w:bCs/>
        </w:rPr>
        <w:t>)</w:t>
      </w:r>
    </w:p>
    <w:p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5B3C1A" w:rsidRPr="006970FD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0A7917" w:rsidP="000A79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Жолмагамбетов</w:t>
            </w:r>
            <w:proofErr w:type="spellEnd"/>
            <w:r w:rsidR="004F39E6" w:rsidRPr="007E2817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Сырлыбек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Рысбекович</w:t>
            </w:r>
            <w:proofErr w:type="spellEnd"/>
          </w:p>
        </w:tc>
      </w:tr>
      <w:tr w:rsidR="005B3C1A" w:rsidRPr="0076365C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F7E" w:rsidRPr="00F407C5" w:rsidRDefault="004F39E6" w:rsidP="000A79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4F39E6">
              <w:rPr>
                <w:sz w:val="24"/>
                <w:szCs w:val="24"/>
                <w:lang w:val="ru-RU"/>
              </w:rPr>
              <w:t>Кандидат технических наук по специальности 05.2</w:t>
            </w:r>
            <w:r w:rsidR="000A7917">
              <w:rPr>
                <w:sz w:val="24"/>
                <w:szCs w:val="24"/>
                <w:lang w:val="ru-RU"/>
              </w:rPr>
              <w:t>6</w:t>
            </w:r>
            <w:r w:rsidRPr="004F39E6">
              <w:rPr>
                <w:sz w:val="24"/>
                <w:szCs w:val="24"/>
                <w:lang w:val="ru-RU"/>
              </w:rPr>
              <w:t>.0</w:t>
            </w:r>
            <w:r w:rsidR="000A7917">
              <w:rPr>
                <w:sz w:val="24"/>
                <w:szCs w:val="24"/>
                <w:lang w:val="ru-RU"/>
              </w:rPr>
              <w:t>3</w:t>
            </w:r>
            <w:r w:rsidRPr="004F39E6">
              <w:rPr>
                <w:sz w:val="24"/>
                <w:szCs w:val="24"/>
                <w:lang w:val="ru-RU"/>
              </w:rPr>
              <w:t xml:space="preserve"> – </w:t>
            </w:r>
            <w:r w:rsidR="000A7917" w:rsidRPr="000A7917">
              <w:rPr>
                <w:sz w:val="24"/>
                <w:szCs w:val="24"/>
                <w:lang w:val="kk-KZ"/>
              </w:rPr>
              <w:t>Пожарная и промышленная безопасность</w:t>
            </w:r>
            <w:r w:rsidRPr="004F39E6">
              <w:rPr>
                <w:sz w:val="24"/>
                <w:szCs w:val="24"/>
                <w:lang w:val="ru-RU"/>
              </w:rPr>
              <w:t>, диплом ҒК №00062</w:t>
            </w:r>
            <w:r w:rsidR="000A7917">
              <w:rPr>
                <w:sz w:val="24"/>
                <w:szCs w:val="24"/>
                <w:lang w:val="ru-RU"/>
              </w:rPr>
              <w:t>88</w:t>
            </w:r>
            <w:r w:rsidRPr="004F39E6">
              <w:rPr>
                <w:sz w:val="24"/>
                <w:szCs w:val="24"/>
                <w:lang w:val="ru-RU"/>
              </w:rPr>
              <w:t xml:space="preserve"> от 30.06.2011 г. (Протокол №6 о присуждении степени от 30.06.2011 г).</w:t>
            </w:r>
          </w:p>
        </w:tc>
      </w:tr>
      <w:tr w:rsidR="005B3C1A" w:rsidRPr="00C62F7E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2C2226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407C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2C2226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76365C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77198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C59" w:rsidRPr="00777198" w:rsidRDefault="0059393D" w:rsidP="0076365C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59393D">
              <w:rPr>
                <w:sz w:val="24"/>
                <w:szCs w:val="24"/>
                <w:lang w:val="ru-RU"/>
              </w:rPr>
              <w:t>Начальник отдела н</w:t>
            </w:r>
            <w:r w:rsidR="00733639">
              <w:rPr>
                <w:sz w:val="24"/>
                <w:szCs w:val="24"/>
                <w:lang w:val="ru-RU"/>
              </w:rPr>
              <w:t xml:space="preserve">овых технологий и </w:t>
            </w:r>
            <w:proofErr w:type="spellStart"/>
            <w:r w:rsidR="00733639">
              <w:rPr>
                <w:sz w:val="24"/>
                <w:szCs w:val="24"/>
                <w:lang w:val="ru-RU"/>
              </w:rPr>
              <w:t>предпроектных</w:t>
            </w:r>
            <w:proofErr w:type="spellEnd"/>
            <w:r w:rsidR="00733639">
              <w:rPr>
                <w:sz w:val="24"/>
                <w:szCs w:val="24"/>
                <w:lang w:val="ru-RU"/>
              </w:rPr>
              <w:t xml:space="preserve"> работ,</w:t>
            </w:r>
            <w:r w:rsidRPr="0059393D">
              <w:rPr>
                <w:sz w:val="24"/>
                <w:szCs w:val="24"/>
                <w:lang w:val="ru-RU"/>
              </w:rPr>
              <w:t xml:space="preserve"> </w:t>
            </w:r>
            <w:r w:rsidR="006F049A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аучно-исследовательского, экспертного и проектно-изыскательского Казахстанского Многопрофильного</w:t>
            </w:r>
            <w:r w:rsidRPr="0059393D">
              <w:rPr>
                <w:sz w:val="24"/>
                <w:szCs w:val="24"/>
                <w:lang w:val="ru-RU"/>
              </w:rPr>
              <w:t xml:space="preserve"> Институт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59393D">
              <w:rPr>
                <w:sz w:val="24"/>
                <w:szCs w:val="24"/>
                <w:lang w:val="ru-RU"/>
              </w:rPr>
              <w:t xml:space="preserve"> Реконструкции и Развития (</w:t>
            </w:r>
            <w:proofErr w:type="spellStart"/>
            <w:r w:rsidRPr="0059393D">
              <w:rPr>
                <w:sz w:val="24"/>
                <w:szCs w:val="24"/>
                <w:lang w:val="ru-RU"/>
              </w:rPr>
              <w:t>КазМИРР</w:t>
            </w:r>
            <w:proofErr w:type="spellEnd"/>
            <w:r w:rsidRPr="0059393D">
              <w:rPr>
                <w:sz w:val="24"/>
                <w:szCs w:val="24"/>
                <w:lang w:val="ru-RU"/>
              </w:rPr>
              <w:t xml:space="preserve">) при НАО </w:t>
            </w:r>
            <w:r w:rsidRPr="00777198">
              <w:rPr>
                <w:sz w:val="24"/>
                <w:szCs w:val="24"/>
                <w:lang w:val="ru-RU"/>
              </w:rPr>
              <w:t>«</w:t>
            </w:r>
            <w:r w:rsidRPr="0059393D">
              <w:rPr>
                <w:sz w:val="24"/>
                <w:szCs w:val="24"/>
                <w:lang w:val="ru-RU"/>
              </w:rPr>
              <w:t>Карагандинский технический у</w:t>
            </w:r>
            <w:r>
              <w:rPr>
                <w:sz w:val="24"/>
                <w:szCs w:val="24"/>
                <w:lang w:val="ru-RU"/>
              </w:rPr>
              <w:t>ниверситет им</w:t>
            </w:r>
            <w:r w:rsidR="006F049A">
              <w:rPr>
                <w:sz w:val="24"/>
                <w:szCs w:val="24"/>
                <w:lang w:val="ru-RU"/>
              </w:rPr>
              <w:t xml:space="preserve">ени </w:t>
            </w:r>
            <w:proofErr w:type="spellStart"/>
            <w:r>
              <w:rPr>
                <w:sz w:val="24"/>
                <w:szCs w:val="24"/>
                <w:lang w:val="ru-RU"/>
              </w:rPr>
              <w:t>А</w:t>
            </w:r>
            <w:r w:rsidR="006F049A">
              <w:rPr>
                <w:sz w:val="24"/>
                <w:szCs w:val="24"/>
                <w:lang w:val="ru-RU"/>
              </w:rPr>
              <w:t>былкаса</w:t>
            </w:r>
            <w:proofErr w:type="spellEnd"/>
            <w:r w:rsidR="006F04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Сагинова</w:t>
            </w:r>
            <w:proofErr w:type="spellEnd"/>
            <w:r w:rsidRPr="00777198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(Приказ №527</w:t>
            </w:r>
            <w:r w:rsidR="008C48C1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от 05.06.2012г).</w:t>
            </w:r>
          </w:p>
        </w:tc>
      </w:tr>
      <w:tr w:rsidR="005B3C1A" w:rsidRPr="0076365C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21055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F21055" w:rsidRDefault="006D7154" w:rsidP="00CA4730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7E2817">
              <w:rPr>
                <w:sz w:val="24"/>
                <w:szCs w:val="24"/>
                <w:lang w:val="ru-RU"/>
              </w:rPr>
              <w:t>Более 20 лет</w:t>
            </w:r>
            <w:r w:rsidR="005106F0" w:rsidRPr="00F21055">
              <w:rPr>
                <w:sz w:val="24"/>
                <w:szCs w:val="24"/>
                <w:lang w:val="ru-RU"/>
              </w:rPr>
              <w:t>,</w:t>
            </w:r>
            <w:r w:rsidR="004C0971" w:rsidRPr="00F21055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F21055">
              <w:rPr>
                <w:sz w:val="24"/>
                <w:szCs w:val="24"/>
                <w:lang w:val="ru-RU"/>
              </w:rPr>
              <w:t xml:space="preserve">, в должности </w:t>
            </w:r>
            <w:r w:rsidR="0059393D">
              <w:rPr>
                <w:sz w:val="24"/>
                <w:szCs w:val="24"/>
                <w:lang w:val="ru-RU"/>
              </w:rPr>
              <w:t>начальника отдела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– </w:t>
            </w:r>
            <w:r w:rsidR="0059393D">
              <w:rPr>
                <w:sz w:val="24"/>
                <w:szCs w:val="24"/>
                <w:lang w:val="ru-RU"/>
              </w:rPr>
              <w:t>1</w:t>
            </w:r>
            <w:r w:rsidR="00CA4730">
              <w:rPr>
                <w:sz w:val="24"/>
                <w:szCs w:val="24"/>
                <w:lang w:val="ru-RU"/>
              </w:rPr>
              <w:t>2</w:t>
            </w:r>
            <w:r w:rsidR="0059393D">
              <w:rPr>
                <w:sz w:val="24"/>
                <w:szCs w:val="24"/>
                <w:lang w:val="ru-RU"/>
              </w:rPr>
              <w:t xml:space="preserve"> лет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76365C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77198" w:rsidRDefault="00C62F7E" w:rsidP="0076365C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76365C">
              <w:rPr>
                <w:sz w:val="24"/>
                <w:szCs w:val="24"/>
                <w:lang w:val="ru-RU"/>
              </w:rPr>
              <w:t>15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</w:t>
            </w:r>
            <w:r w:rsidR="00C539DE">
              <w:rPr>
                <w:sz w:val="24"/>
                <w:szCs w:val="24"/>
                <w:lang w:val="ru-RU"/>
              </w:rPr>
              <w:t xml:space="preserve"> </w:t>
            </w:r>
            <w:r w:rsidR="006F049A">
              <w:rPr>
                <w:sz w:val="24"/>
                <w:szCs w:val="24"/>
                <w:lang w:val="ru-RU"/>
              </w:rPr>
              <w:t>3 статьи</w:t>
            </w:r>
            <w:r w:rsidR="00C539DE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proofErr w:type="spellStart"/>
            <w:r w:rsidR="00E92356" w:rsidRPr="007E2817">
              <w:rPr>
                <w:sz w:val="24"/>
                <w:szCs w:val="24"/>
                <w:lang w:val="ru-RU"/>
              </w:rPr>
              <w:t>Scopus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) с 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 выше </w:t>
            </w:r>
            <w:r w:rsidR="00C539DE">
              <w:rPr>
                <w:sz w:val="24"/>
                <w:szCs w:val="24"/>
                <w:lang w:val="ru-RU"/>
              </w:rPr>
              <w:t>35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; </w:t>
            </w:r>
            <w:r w:rsidR="0076365C">
              <w:rPr>
                <w:sz w:val="24"/>
                <w:szCs w:val="24"/>
                <w:lang w:val="ru-RU"/>
              </w:rPr>
              <w:t>12</w:t>
            </w:r>
            <w:r w:rsidR="00C539DE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777198">
              <w:rPr>
                <w:sz w:val="24"/>
                <w:szCs w:val="24"/>
                <w:lang w:val="ru-RU"/>
              </w:rPr>
              <w:t>в изданиях</w:t>
            </w:r>
            <w:r w:rsidR="00BB7984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76365C">
              <w:rPr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="007B1768" w:rsidRPr="0077719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0A791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514179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1B2" w:rsidRPr="00777198" w:rsidRDefault="00CA4730" w:rsidP="008C48C1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bookmarkStart w:id="1" w:name="_Hlk147157021"/>
            <w:r>
              <w:rPr>
                <w:sz w:val="24"/>
                <w:szCs w:val="24"/>
                <w:lang w:val="ru-RU"/>
              </w:rPr>
              <w:t>1</w:t>
            </w:r>
            <w:r w:rsidR="0059393D" w:rsidRPr="007E281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монография</w:t>
            </w:r>
            <w:r w:rsidR="0059393D" w:rsidRPr="007E2817">
              <w:rPr>
                <w:sz w:val="24"/>
                <w:szCs w:val="24"/>
                <w:lang w:val="ru-RU"/>
              </w:rPr>
              <w:t>, рекомендованн</w:t>
            </w:r>
            <w:r w:rsidR="008C48C1">
              <w:rPr>
                <w:sz w:val="24"/>
                <w:szCs w:val="24"/>
                <w:lang w:val="ru-RU"/>
              </w:rPr>
              <w:t>ая</w:t>
            </w:r>
            <w:r w:rsidR="0059393D" w:rsidRPr="007E2817">
              <w:rPr>
                <w:sz w:val="24"/>
                <w:szCs w:val="24"/>
                <w:lang w:val="ru-RU"/>
              </w:rPr>
              <w:t xml:space="preserve"> </w:t>
            </w:r>
            <w:r w:rsidR="006F049A">
              <w:rPr>
                <w:sz w:val="24"/>
                <w:szCs w:val="24"/>
                <w:lang w:val="ru-RU"/>
              </w:rPr>
              <w:t>У</w:t>
            </w:r>
            <w:r w:rsidR="0059393D" w:rsidRPr="007E2817">
              <w:rPr>
                <w:sz w:val="24"/>
                <w:szCs w:val="24"/>
                <w:lang w:val="ru-RU"/>
              </w:rPr>
              <w:t xml:space="preserve">ченым советом. </w:t>
            </w:r>
            <w:bookmarkEnd w:id="1"/>
          </w:p>
        </w:tc>
      </w:tr>
      <w:tr w:rsidR="005B3C1A" w:rsidRPr="008C6B24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AB19E4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7E2817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7E2817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0A791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E2817" w:rsidRDefault="00CA4730" w:rsidP="00CA4730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B3C1A" w:rsidRPr="00C62F7E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4C7F24" w:rsidRDefault="005B3C1A" w:rsidP="007E2817">
            <w:pPr>
              <w:spacing w:after="0" w:line="240" w:lineRule="auto"/>
              <w:ind w:left="127" w:right="127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t>-</w:t>
            </w:r>
          </w:p>
        </w:tc>
      </w:tr>
      <w:tr w:rsidR="003307DE" w:rsidRPr="0076365C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3307DE" w:rsidRDefault="00C62F7E" w:rsidP="007E2817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AE3" w:rsidRPr="00D86D1A" w:rsidRDefault="00D86D1A" w:rsidP="008C48C1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ru-RU"/>
              </w:rPr>
            </w:pPr>
            <w:r w:rsidRPr="00D86D1A">
              <w:rPr>
                <w:sz w:val="24"/>
                <w:szCs w:val="24"/>
                <w:lang w:val="ru-RU"/>
              </w:rPr>
              <w:t xml:space="preserve">Под руководством </w:t>
            </w:r>
            <w:proofErr w:type="spellStart"/>
            <w:r w:rsidR="00D167D4">
              <w:rPr>
                <w:sz w:val="24"/>
                <w:szCs w:val="24"/>
                <w:lang w:val="ru-RU"/>
              </w:rPr>
              <w:t>Жолмагамбетова</w:t>
            </w:r>
            <w:proofErr w:type="spellEnd"/>
            <w:r w:rsidR="006F049A">
              <w:rPr>
                <w:sz w:val="24"/>
                <w:szCs w:val="24"/>
                <w:lang w:val="ru-RU"/>
              </w:rPr>
              <w:t xml:space="preserve"> </w:t>
            </w:r>
            <w:r w:rsidR="00D167D4">
              <w:rPr>
                <w:sz w:val="24"/>
                <w:szCs w:val="24"/>
                <w:lang w:val="ru-RU"/>
              </w:rPr>
              <w:t>С</w:t>
            </w:r>
            <w:r w:rsidR="006F049A">
              <w:rPr>
                <w:sz w:val="24"/>
                <w:szCs w:val="24"/>
                <w:lang w:val="ru-RU"/>
              </w:rPr>
              <w:t>.</w:t>
            </w:r>
            <w:r w:rsidR="00D167D4">
              <w:rPr>
                <w:sz w:val="24"/>
                <w:szCs w:val="24"/>
                <w:lang w:val="ru-RU"/>
              </w:rPr>
              <w:t>Р</w:t>
            </w:r>
            <w:r w:rsidR="006F049A">
              <w:rPr>
                <w:sz w:val="24"/>
                <w:szCs w:val="24"/>
                <w:lang w:val="ru-RU"/>
              </w:rPr>
              <w:t xml:space="preserve">. </w:t>
            </w:r>
            <w:r w:rsidR="00463977" w:rsidRPr="00734CE9">
              <w:rPr>
                <w:sz w:val="24"/>
                <w:szCs w:val="24"/>
                <w:lang w:val="ru-RU"/>
              </w:rPr>
              <w:t>успешно проведены научно-технические сопровождения, мониторинг строительства и экспертизы технически сложных и уникальных объектов, таких как</w:t>
            </w:r>
            <w:r w:rsidR="008C48C1">
              <w:rPr>
                <w:sz w:val="24"/>
                <w:szCs w:val="24"/>
                <w:lang w:val="ru-RU"/>
              </w:rPr>
              <w:t>:</w:t>
            </w:r>
            <w:r w:rsidR="00463977" w:rsidRPr="00734CE9">
              <w:rPr>
                <w:sz w:val="24"/>
                <w:szCs w:val="24"/>
                <w:lang w:val="ru-RU"/>
              </w:rPr>
              <w:t xml:space="preserve"> многофункциональный комплекс «Абу-Даби Плаза», </w:t>
            </w:r>
            <w:r w:rsidR="00463977">
              <w:rPr>
                <w:sz w:val="24"/>
                <w:szCs w:val="24"/>
                <w:lang w:val="ru-RU"/>
              </w:rPr>
              <w:t>Резиденция Президента РК «А</w:t>
            </w:r>
            <w:r w:rsidR="00463977">
              <w:rPr>
                <w:sz w:val="24"/>
                <w:szCs w:val="24"/>
                <w:lang w:val="kk-KZ"/>
              </w:rPr>
              <w:t>қ</w:t>
            </w:r>
            <w:r w:rsidR="00463977" w:rsidRPr="00734CE9">
              <w:rPr>
                <w:sz w:val="24"/>
                <w:szCs w:val="24"/>
                <w:lang w:val="ru-RU"/>
              </w:rPr>
              <w:t>орда», монумент «Астана-</w:t>
            </w:r>
            <w:proofErr w:type="spellStart"/>
            <w:r w:rsidR="00463977" w:rsidRPr="00734CE9">
              <w:rPr>
                <w:sz w:val="24"/>
                <w:szCs w:val="24"/>
                <w:lang w:val="ru-RU"/>
              </w:rPr>
              <w:t>Байтерек</w:t>
            </w:r>
            <w:proofErr w:type="spellEnd"/>
            <w:r w:rsidR="00463977" w:rsidRPr="00734CE9">
              <w:rPr>
                <w:sz w:val="24"/>
                <w:szCs w:val="24"/>
                <w:lang w:val="ru-RU"/>
              </w:rPr>
              <w:t>», Дворец Независимости, Дворец мира и согласия, Универсальный киноконцертный зал «Казахстан», крытый стадион Астана-Арена, железнодорожный вокзал «Н</w:t>
            </w:r>
            <w:r w:rsidR="00463977" w:rsidRPr="00734CE9">
              <w:rPr>
                <w:sz w:val="24"/>
                <w:szCs w:val="24"/>
                <w:lang w:val="kk-KZ"/>
              </w:rPr>
              <w:t>ұрлы жол</w:t>
            </w:r>
            <w:r w:rsidR="00463977" w:rsidRPr="00734CE9">
              <w:rPr>
                <w:sz w:val="24"/>
                <w:szCs w:val="24"/>
                <w:lang w:val="ru-RU"/>
              </w:rPr>
              <w:t xml:space="preserve">», павильоны Международной специализированной выставки «ЭКСПО-2017», «Ветровые электростанции «Астана </w:t>
            </w:r>
            <w:r w:rsidR="00463977" w:rsidRPr="00734CE9">
              <w:rPr>
                <w:sz w:val="24"/>
                <w:szCs w:val="24"/>
              </w:rPr>
              <w:t>E</w:t>
            </w:r>
            <w:r w:rsidR="00463977" w:rsidRPr="00734CE9">
              <w:rPr>
                <w:sz w:val="24"/>
                <w:szCs w:val="24"/>
                <w:lang w:val="ru-RU"/>
              </w:rPr>
              <w:t>хро-2017», комплекс «Дом министерств»</w:t>
            </w:r>
            <w:r w:rsidR="008C48C1" w:rsidRPr="00734CE9">
              <w:rPr>
                <w:sz w:val="24"/>
                <w:szCs w:val="24"/>
                <w:lang w:val="ru-RU"/>
              </w:rPr>
              <w:t xml:space="preserve"> </w:t>
            </w:r>
            <w:r w:rsidR="008C48C1">
              <w:rPr>
                <w:sz w:val="24"/>
                <w:szCs w:val="24"/>
                <w:lang w:val="ru-RU"/>
              </w:rPr>
              <w:t xml:space="preserve">расположенных в </w:t>
            </w:r>
            <w:r w:rsidR="008C48C1" w:rsidRPr="00734CE9">
              <w:rPr>
                <w:sz w:val="24"/>
                <w:szCs w:val="24"/>
                <w:lang w:val="ru-RU"/>
              </w:rPr>
              <w:t>столиц</w:t>
            </w:r>
            <w:r w:rsidR="008C48C1">
              <w:rPr>
                <w:sz w:val="24"/>
                <w:szCs w:val="24"/>
                <w:lang w:val="ru-RU"/>
              </w:rPr>
              <w:t>е</w:t>
            </w:r>
            <w:r w:rsidR="008C48C1" w:rsidRPr="00734CE9">
              <w:rPr>
                <w:sz w:val="24"/>
                <w:szCs w:val="24"/>
                <w:lang w:val="ru-RU"/>
              </w:rPr>
              <w:t xml:space="preserve"> Казахстана</w:t>
            </w:r>
            <w:r w:rsidR="00463977" w:rsidRPr="00734CE9">
              <w:rPr>
                <w:sz w:val="24"/>
                <w:szCs w:val="24"/>
                <w:lang w:val="ru-RU"/>
              </w:rPr>
              <w:t xml:space="preserve">, а также более 500 жилых и производственных комплексов на всей территории Республики Казахстан. Принимал активное участие в разработке </w:t>
            </w:r>
            <w:proofErr w:type="spellStart"/>
            <w:r w:rsidR="00463977" w:rsidRPr="00734CE9">
              <w:rPr>
                <w:sz w:val="24"/>
                <w:szCs w:val="24"/>
                <w:lang w:val="ru-RU"/>
              </w:rPr>
              <w:t>Еврокодов</w:t>
            </w:r>
            <w:proofErr w:type="spellEnd"/>
            <w:r w:rsidR="00463977" w:rsidRPr="00734CE9">
              <w:rPr>
                <w:sz w:val="24"/>
                <w:szCs w:val="24"/>
                <w:lang w:val="ru-RU"/>
              </w:rPr>
              <w:t xml:space="preserve"> (</w:t>
            </w:r>
            <w:r w:rsidR="00463977" w:rsidRPr="00734CE9">
              <w:rPr>
                <w:bCs/>
                <w:sz w:val="24"/>
                <w:szCs w:val="24"/>
                <w:lang w:val="ru-RU"/>
              </w:rPr>
              <w:t>СП РК EN</w:t>
            </w:r>
            <w:r w:rsidR="00463977" w:rsidRPr="00734CE9">
              <w:rPr>
                <w:sz w:val="24"/>
                <w:szCs w:val="24"/>
                <w:lang w:val="ru-RU"/>
              </w:rPr>
              <w:t> и </w:t>
            </w:r>
            <w:r w:rsidR="00463977" w:rsidRPr="00734CE9">
              <w:rPr>
                <w:bCs/>
                <w:sz w:val="24"/>
                <w:szCs w:val="24"/>
                <w:lang w:val="ru-RU"/>
              </w:rPr>
              <w:t>НТП</w:t>
            </w:r>
            <w:r w:rsidR="00463977" w:rsidRPr="00734CE9">
              <w:rPr>
                <w:sz w:val="24"/>
                <w:szCs w:val="24"/>
                <w:lang w:val="ru-RU"/>
              </w:rPr>
              <w:t>) для проектирования и строительства зданий, сооружений в Республике Казахстан.</w:t>
            </w:r>
          </w:p>
        </w:tc>
      </w:tr>
    </w:tbl>
    <w:p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:rsidR="006D7154" w:rsidRDefault="006D7154" w:rsidP="00FA4893">
      <w:pPr>
        <w:spacing w:after="0"/>
        <w:jc w:val="both"/>
        <w:rPr>
          <w:color w:val="000000"/>
          <w:sz w:val="28"/>
          <w:lang w:val="ru-RU"/>
        </w:rPr>
      </w:pPr>
    </w:p>
    <w:p w:rsidR="004E186C" w:rsidRDefault="004E186C" w:rsidP="00FA4893">
      <w:pPr>
        <w:spacing w:after="0"/>
        <w:jc w:val="both"/>
        <w:rPr>
          <w:color w:val="000000"/>
          <w:sz w:val="28"/>
          <w:lang w:val="ru-RU"/>
        </w:rPr>
      </w:pPr>
    </w:p>
    <w:p w:rsidR="006D7154" w:rsidRDefault="00163737" w:rsidP="00163737">
      <w:pPr>
        <w:tabs>
          <w:tab w:val="left" w:pos="2646"/>
        </w:tabs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</w:r>
    </w:p>
    <w:p w:rsidR="00F26F10" w:rsidRDefault="00163737" w:rsidP="003C6E0C">
      <w:pPr>
        <w:spacing w:after="0"/>
        <w:ind w:hanging="426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Директор института </w:t>
      </w:r>
      <w:proofErr w:type="spellStart"/>
      <w:r>
        <w:rPr>
          <w:color w:val="000000"/>
          <w:sz w:val="24"/>
          <w:szCs w:val="24"/>
          <w:lang w:val="ru-RU"/>
        </w:rPr>
        <w:t>КазМИРР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</w:t>
      </w:r>
      <w:r w:rsidR="00FA4893" w:rsidRPr="0090698A">
        <w:rPr>
          <w:color w:val="000000"/>
          <w:sz w:val="24"/>
          <w:szCs w:val="24"/>
          <w:lang w:val="ru-RU"/>
        </w:rPr>
        <w:t xml:space="preserve">     </w:t>
      </w:r>
      <w:r w:rsidR="007E2817">
        <w:rPr>
          <w:color w:val="000000"/>
          <w:sz w:val="24"/>
          <w:szCs w:val="24"/>
          <w:lang w:val="ru-RU"/>
        </w:rPr>
        <w:t xml:space="preserve">                          </w:t>
      </w:r>
      <w:r>
        <w:rPr>
          <w:color w:val="000000"/>
          <w:sz w:val="24"/>
          <w:szCs w:val="24"/>
          <w:lang w:val="ru-RU"/>
        </w:rPr>
        <w:t xml:space="preserve">Ж.С. </w:t>
      </w:r>
      <w:proofErr w:type="spellStart"/>
      <w:r>
        <w:rPr>
          <w:color w:val="000000"/>
          <w:sz w:val="24"/>
          <w:szCs w:val="24"/>
          <w:lang w:val="ru-RU"/>
        </w:rPr>
        <w:t>Нугужинов</w:t>
      </w:r>
      <w:proofErr w:type="spellEnd"/>
    </w:p>
    <w:sectPr w:rsidR="00F26F10" w:rsidSect="00F0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F7E"/>
    <w:rsid w:val="0003605C"/>
    <w:rsid w:val="00043D88"/>
    <w:rsid w:val="00056B29"/>
    <w:rsid w:val="000A7917"/>
    <w:rsid w:val="00100A81"/>
    <w:rsid w:val="0013045B"/>
    <w:rsid w:val="00132314"/>
    <w:rsid w:val="00163737"/>
    <w:rsid w:val="00173D14"/>
    <w:rsid w:val="001B7838"/>
    <w:rsid w:val="00232949"/>
    <w:rsid w:val="00233F68"/>
    <w:rsid w:val="00265923"/>
    <w:rsid w:val="00274C79"/>
    <w:rsid w:val="00274F91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0393"/>
    <w:rsid w:val="00305890"/>
    <w:rsid w:val="00314C59"/>
    <w:rsid w:val="003307DE"/>
    <w:rsid w:val="00384908"/>
    <w:rsid w:val="003964F7"/>
    <w:rsid w:val="003C6E0C"/>
    <w:rsid w:val="00462017"/>
    <w:rsid w:val="00463977"/>
    <w:rsid w:val="00483B4A"/>
    <w:rsid w:val="004C0971"/>
    <w:rsid w:val="004C7F24"/>
    <w:rsid w:val="004E186C"/>
    <w:rsid w:val="004F39E6"/>
    <w:rsid w:val="005106F0"/>
    <w:rsid w:val="00512C0D"/>
    <w:rsid w:val="00514179"/>
    <w:rsid w:val="00515A46"/>
    <w:rsid w:val="005401B2"/>
    <w:rsid w:val="0059393D"/>
    <w:rsid w:val="005B3BB7"/>
    <w:rsid w:val="005B3C1A"/>
    <w:rsid w:val="005B614D"/>
    <w:rsid w:val="00620F1B"/>
    <w:rsid w:val="00641E71"/>
    <w:rsid w:val="00681243"/>
    <w:rsid w:val="0068170D"/>
    <w:rsid w:val="00690543"/>
    <w:rsid w:val="006970FD"/>
    <w:rsid w:val="006D65B4"/>
    <w:rsid w:val="006D7154"/>
    <w:rsid w:val="006E1B4F"/>
    <w:rsid w:val="006F049A"/>
    <w:rsid w:val="00707EFA"/>
    <w:rsid w:val="00733639"/>
    <w:rsid w:val="0076365C"/>
    <w:rsid w:val="00763772"/>
    <w:rsid w:val="00777198"/>
    <w:rsid w:val="007B1768"/>
    <w:rsid w:val="007D11BF"/>
    <w:rsid w:val="007E2817"/>
    <w:rsid w:val="007F2F12"/>
    <w:rsid w:val="008400A5"/>
    <w:rsid w:val="00890E6E"/>
    <w:rsid w:val="008A1CC6"/>
    <w:rsid w:val="008C48C1"/>
    <w:rsid w:val="008C6B24"/>
    <w:rsid w:val="008E031C"/>
    <w:rsid w:val="008E0DE9"/>
    <w:rsid w:val="008E4121"/>
    <w:rsid w:val="00903C88"/>
    <w:rsid w:val="0090698A"/>
    <w:rsid w:val="009377CF"/>
    <w:rsid w:val="0096396B"/>
    <w:rsid w:val="00990E8E"/>
    <w:rsid w:val="00A145AA"/>
    <w:rsid w:val="00A42AE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C41A8F"/>
    <w:rsid w:val="00C5166C"/>
    <w:rsid w:val="00C539DE"/>
    <w:rsid w:val="00C62F7E"/>
    <w:rsid w:val="00C87080"/>
    <w:rsid w:val="00CA4730"/>
    <w:rsid w:val="00CA7CE8"/>
    <w:rsid w:val="00CC7387"/>
    <w:rsid w:val="00D167D4"/>
    <w:rsid w:val="00D177CD"/>
    <w:rsid w:val="00D56DEA"/>
    <w:rsid w:val="00D76ECE"/>
    <w:rsid w:val="00D86D1A"/>
    <w:rsid w:val="00DC04AC"/>
    <w:rsid w:val="00DD7441"/>
    <w:rsid w:val="00DE5D48"/>
    <w:rsid w:val="00E177FD"/>
    <w:rsid w:val="00E26259"/>
    <w:rsid w:val="00E5486D"/>
    <w:rsid w:val="00E62167"/>
    <w:rsid w:val="00E76B18"/>
    <w:rsid w:val="00E8101B"/>
    <w:rsid w:val="00E854EB"/>
    <w:rsid w:val="00E92356"/>
    <w:rsid w:val="00EA06C2"/>
    <w:rsid w:val="00F03513"/>
    <w:rsid w:val="00F21055"/>
    <w:rsid w:val="00F26F10"/>
    <w:rsid w:val="00F407C5"/>
    <w:rsid w:val="00F80464"/>
    <w:rsid w:val="00FA4893"/>
    <w:rsid w:val="00FD52F3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45FB7-788E-4EB7-88C5-FDCFF7C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2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  <w:style w:type="paragraph" w:customStyle="1" w:styleId="pj">
    <w:name w:val="pj"/>
    <w:basedOn w:val="a"/>
    <w:rsid w:val="008C6B24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8C6B2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E2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7">
    <w:name w:val="Strong"/>
    <w:basedOn w:val="a0"/>
    <w:uiPriority w:val="22"/>
    <w:qFormat/>
    <w:rsid w:val="00163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8819-B4DA-466A-B18A-8748049F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admin</cp:lastModifiedBy>
  <cp:revision>34</cp:revision>
  <cp:lastPrinted>2024-03-06T06:07:00Z</cp:lastPrinted>
  <dcterms:created xsi:type="dcterms:W3CDTF">2024-06-10T10:32:00Z</dcterms:created>
  <dcterms:modified xsi:type="dcterms:W3CDTF">2025-05-02T07:20:00Z</dcterms:modified>
</cp:coreProperties>
</file>