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02" w:rsidRDefault="00C6685B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Справка </w:t>
      </w:r>
    </w:p>
    <w:p w:rsidR="00364502" w:rsidRDefault="00C6685B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о соискателе ученого звания профессора </w:t>
      </w:r>
    </w:p>
    <w:p w:rsidR="00364502" w:rsidRDefault="00C6685B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по </w:t>
      </w:r>
      <w:r>
        <w:rPr>
          <w:b/>
          <w:bCs/>
          <w:color w:val="000000"/>
          <w:sz w:val="24"/>
          <w:szCs w:val="24"/>
          <w:lang w:val="kk-KZ"/>
        </w:rPr>
        <w:t xml:space="preserve">научному направлению </w:t>
      </w:r>
      <w:r>
        <w:rPr>
          <w:b/>
          <w:color w:val="000000"/>
          <w:spacing w:val="2"/>
          <w:sz w:val="24"/>
          <w:szCs w:val="24"/>
          <w:shd w:val="clear" w:color="auto" w:fill="FFFFFF"/>
          <w:lang w:val="ru-RU"/>
        </w:rPr>
        <w:t>10200 - Физические науки</w:t>
      </w:r>
    </w:p>
    <w:p w:rsidR="00364502" w:rsidRDefault="00364502">
      <w:pPr>
        <w:spacing w:after="0"/>
        <w:rPr>
          <w:sz w:val="24"/>
          <w:szCs w:val="24"/>
          <w:lang w:val="ru-RU"/>
        </w:rPr>
      </w:pPr>
    </w:p>
    <w:tbl>
      <w:tblPr>
        <w:tblW w:w="9620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949"/>
        <w:gridCol w:w="5103"/>
      </w:tblGrid>
      <w:tr w:rsidR="00364502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502" w:rsidRDefault="00C6685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502" w:rsidRDefault="00C668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502" w:rsidRDefault="00C6685B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Калытка Валерий Александрович</w:t>
            </w:r>
          </w:p>
          <w:p w:rsidR="00364502" w:rsidRDefault="003645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64502" w:rsidRPr="00941B15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502" w:rsidRDefault="00C6685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502" w:rsidRDefault="00C668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>
              <w:rPr>
                <w:sz w:val="24"/>
                <w:szCs w:val="24"/>
              </w:rPr>
              <w:t>PhD</w:t>
            </w:r>
            <w:r>
              <w:rPr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>
              <w:rPr>
                <w:sz w:val="24"/>
                <w:szCs w:val="24"/>
              </w:rPr>
              <w:t>PhD</w:t>
            </w:r>
            <w:r>
              <w:rPr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>
              <w:rPr>
                <w:sz w:val="24"/>
                <w:szCs w:val="24"/>
              </w:rPr>
              <w:t>PhD</w:t>
            </w:r>
            <w:r>
              <w:rPr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4502" w:rsidRDefault="00C6685B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1. Кандидат физико-математических наук по специальности 01.04.07 - «Физика конденсированного состояния».  Приказ Министерства образования и науки Российской Федерации № 255 н/к - 10 от 30 мая 2013 г. (серия ДКН № 185429).</w:t>
            </w:r>
          </w:p>
          <w:p w:rsidR="00364502" w:rsidRDefault="00C6685B">
            <w:pPr>
              <w:spacing w:after="0" w:line="240" w:lineRule="auto"/>
              <w:jc w:val="both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2. Доктор философии (PhD) по специальности 6D060400 – Физика. Приказ Комитета по контролю в сфере образования и науки Министерства образования и науки Республики Казахстан № 564 от 3 апреля 2014 г. </w:t>
            </w:r>
            <w:r>
              <w:rPr>
                <w:rFonts w:eastAsia="SimSun"/>
                <w:sz w:val="24"/>
                <w:szCs w:val="24"/>
                <w:lang w:val="ru-RU"/>
              </w:rPr>
              <w:t xml:space="preserve">(серия </w:t>
            </w:r>
            <w:r>
              <w:rPr>
                <w:rFonts w:eastAsia="SimSun"/>
                <w:sz w:val="24"/>
                <w:szCs w:val="24"/>
                <w:lang w:val="kk-KZ"/>
              </w:rPr>
              <w:t>Ғ</w:t>
            </w:r>
            <w:r>
              <w:rPr>
                <w:rFonts w:eastAsia="SimSun"/>
                <w:sz w:val="24"/>
                <w:szCs w:val="24"/>
                <w:lang w:val="ru-RU"/>
              </w:rPr>
              <w:t>Д № 0000468).</w:t>
            </w:r>
          </w:p>
        </w:tc>
      </w:tr>
      <w:tr w:rsidR="00364502" w:rsidRPr="00941B15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502" w:rsidRDefault="00C668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502" w:rsidRDefault="00C668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502" w:rsidRDefault="00C6685B">
            <w:pPr>
              <w:spacing w:after="0" w:line="240" w:lineRule="auto"/>
              <w:jc w:val="both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Ассоциированный профессор (доцент) по специальности </w:t>
            </w:r>
            <w:r w:rsidR="00941B15">
              <w:rPr>
                <w:color w:val="000000" w:themeColor="text1"/>
                <w:sz w:val="24"/>
                <w:szCs w:val="24"/>
                <w:lang w:val="ru-RU"/>
              </w:rPr>
              <w:t>6D060400 –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«Физика». Приказ Комитета по контролю в сфере образования и науки Министерства образования и науки Республики Казахстан № 1056 от 3 июля 2018 г. (серия ДЦ № 0000447)</w:t>
            </w:r>
          </w:p>
        </w:tc>
      </w:tr>
      <w:tr w:rsidR="00364502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502" w:rsidRDefault="00C6685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502" w:rsidRDefault="00C668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Почетное звание, дата присуждения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502" w:rsidRDefault="00C6685B">
            <w:pPr>
              <w:spacing w:after="0" w:line="240" w:lineRule="auto"/>
              <w:jc w:val="both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Лучший преподаватель вуза – 2024</w:t>
            </w:r>
          </w:p>
        </w:tc>
      </w:tr>
      <w:tr w:rsidR="00364502" w:rsidRPr="00941B15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502" w:rsidRDefault="00C668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502" w:rsidRDefault="00C668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502" w:rsidRDefault="00C6685B">
            <w:pPr>
              <w:pStyle w:val="a6"/>
              <w:tabs>
                <w:tab w:val="left" w:pos="280"/>
              </w:tabs>
              <w:spacing w:after="0" w:line="240" w:lineRule="auto"/>
              <w:ind w:left="0"/>
              <w:jc w:val="both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И.о. профессора кафедры «Энергетические системы» НАО «Карагандинский технический университет имени Абылкаса Сагинова» (приказ № 624 лс   от 01.09.2021 г.)</w:t>
            </w:r>
          </w:p>
        </w:tc>
      </w:tr>
      <w:tr w:rsidR="00364502" w:rsidRPr="00941B15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502" w:rsidRDefault="00C6685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502" w:rsidRDefault="00C668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502" w:rsidRDefault="00C6685B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Всего 26 лет, в том числе после получения звания ассоциированного профессора в должностях:</w:t>
            </w:r>
          </w:p>
          <w:p w:rsidR="00364502" w:rsidRDefault="00C6685B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Доцента кафедры – </w:t>
            </w:r>
            <w:r w:rsidR="00842060" w:rsidRPr="00941B15">
              <w:rPr>
                <w:color w:val="000000" w:themeColor="text1"/>
                <w:sz w:val="24"/>
                <w:szCs w:val="24"/>
                <w:lang w:val="ru-RU"/>
              </w:rPr>
              <w:t>3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41B15">
              <w:rPr>
                <w:color w:val="000000" w:themeColor="text1"/>
                <w:sz w:val="24"/>
                <w:szCs w:val="24"/>
                <w:lang w:val="ru-RU"/>
              </w:rPr>
              <w:t>г.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842060" w:rsidRPr="00941B15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мес.;</w:t>
            </w:r>
          </w:p>
          <w:p w:rsidR="00364502" w:rsidRDefault="00C6685B" w:rsidP="0084206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И.о. профессора кафедры – 3</w:t>
            </w:r>
            <w:r w:rsidR="00941B15" w:rsidRPr="00941B1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г.</w:t>
            </w:r>
            <w:r w:rsidR="00842060" w:rsidRPr="00842060">
              <w:rPr>
                <w:color w:val="000000" w:themeColor="text1"/>
                <w:sz w:val="24"/>
                <w:szCs w:val="24"/>
                <w:lang w:val="ru-RU"/>
              </w:rPr>
              <w:t>7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мес.</w:t>
            </w:r>
          </w:p>
        </w:tc>
      </w:tr>
      <w:tr w:rsidR="00364502" w:rsidRPr="00941B15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502" w:rsidRDefault="00C668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502" w:rsidRDefault="00C668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502" w:rsidRDefault="00C6685B" w:rsidP="002A61BB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После получения ученого звания ассоциированного профессора опубликовано более 100 научных и научно-методических работ, в том числе, по научному направлению 10200 – «</w:t>
            </w:r>
            <w:r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Физические науки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» подготовлено  3</w:t>
            </w:r>
            <w:r w:rsidR="00842060" w:rsidRPr="00842060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научных публикац</w:t>
            </w:r>
            <w:r w:rsidR="002A61BB">
              <w:rPr>
                <w:color w:val="000000" w:themeColor="text1"/>
                <w:sz w:val="24"/>
                <w:szCs w:val="24"/>
                <w:lang w:val="ru-RU"/>
              </w:rPr>
              <w:t>ии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, в том числе 11 статей в журналах, индексируемых в международных базах данных (МБД) Web of Science и Scopus, 9 статей в журналах, рекомендованных КОКСНВО МНВО Республики Казахстан и, 1</w:t>
            </w:r>
            <w:r w:rsidR="002A61BB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A61BB">
              <w:rPr>
                <w:color w:val="000000" w:themeColor="text1"/>
                <w:sz w:val="24"/>
                <w:szCs w:val="24"/>
                <w:lang w:val="ru-RU"/>
              </w:rPr>
              <w:t>статей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в периодических научных изданиях, не входящих в </w:t>
            </w:r>
            <w:r>
              <w:rPr>
                <w:color w:val="000000" w:themeColor="text1"/>
                <w:sz w:val="24"/>
                <w:szCs w:val="24"/>
              </w:rPr>
              <w:t>WOS</w:t>
            </w:r>
            <w:r w:rsidRPr="00842060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842060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Scopus</w:t>
            </w:r>
            <w:r w:rsidR="002A61BB">
              <w:rPr>
                <w:color w:val="000000" w:themeColor="text1"/>
                <w:sz w:val="24"/>
                <w:szCs w:val="24"/>
                <w:lang w:val="ru-RU"/>
              </w:rPr>
              <w:t>,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и в перечень КОКСНВО МНВО РК. Получено 3 патента на изобретения.</w:t>
            </w:r>
          </w:p>
        </w:tc>
      </w:tr>
      <w:tr w:rsidR="00364502" w:rsidRPr="00941B15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502" w:rsidRDefault="00C668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502" w:rsidRDefault="00C668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Количество, изданных за последние 5 лет монографий, учебников, единолично написанных учебных </w:t>
            </w:r>
            <w:r>
              <w:rPr>
                <w:sz w:val="24"/>
                <w:szCs w:val="24"/>
                <w:lang w:val="ru-RU"/>
              </w:rPr>
              <w:lastRenderedPageBreak/>
              <w:t>(учебно-методическое) пособий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502" w:rsidRDefault="00C6685B">
            <w:pPr>
              <w:spacing w:after="0" w:line="240" w:lineRule="auto"/>
              <w:jc w:val="both"/>
              <w:rPr>
                <w:color w:val="FF0000"/>
                <w:sz w:val="24"/>
                <w:szCs w:val="24"/>
                <w:lang w:val="ru-RU"/>
              </w:rPr>
            </w:pPr>
            <w:bookmarkStart w:id="0" w:name="_Hlk147157021"/>
            <w:r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Издано единолично 2 монографии, рекомендованные Учёным Советом Университета. Одна из монографий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опубликована в издательстве «</w:t>
            </w:r>
            <w:r>
              <w:rPr>
                <w:color w:val="000000" w:themeColor="text1"/>
                <w:sz w:val="24"/>
                <w:szCs w:val="24"/>
              </w:rPr>
              <w:t>Lambert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».   Опубликовано единолично 1 учебное пособие и, в соавторстве 9 учебных пособий, рекомендованных Учёным советом Университета</w:t>
            </w:r>
            <w:bookmarkEnd w:id="0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</w:tc>
      </w:tr>
      <w:tr w:rsidR="00364502" w:rsidRPr="00941B15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502" w:rsidRDefault="00C6685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502" w:rsidRDefault="00C6685B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>
              <w:rPr>
                <w:color w:val="000000"/>
                <w:sz w:val="24"/>
                <w:szCs w:val="24"/>
              </w:rPr>
              <w:t>PhD</w:t>
            </w:r>
            <w:r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>
              <w:rPr>
                <w:color w:val="000000"/>
                <w:sz w:val="24"/>
                <w:szCs w:val="24"/>
              </w:rPr>
              <w:t>PhD</w:t>
            </w:r>
            <w:r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>
              <w:rPr>
                <w:color w:val="000000"/>
                <w:sz w:val="24"/>
                <w:szCs w:val="24"/>
              </w:rPr>
              <w:t>PhD</w:t>
            </w:r>
            <w:r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502" w:rsidRDefault="0036450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364502" w:rsidRPr="00941B15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502" w:rsidRDefault="00C668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502" w:rsidRDefault="00C668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502" w:rsidRDefault="00364502">
            <w:pPr>
              <w:spacing w:after="0" w:line="240" w:lineRule="auto"/>
              <w:jc w:val="both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</w:p>
        </w:tc>
      </w:tr>
      <w:tr w:rsidR="00364502" w:rsidRPr="00941B15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502" w:rsidRDefault="00C668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502" w:rsidRDefault="00C668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502" w:rsidRDefault="0036450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364502" w:rsidRPr="00941B15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502" w:rsidRDefault="00C668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502" w:rsidRDefault="00C668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502" w:rsidRDefault="00C6685B">
            <w:pPr>
              <w:tabs>
                <w:tab w:val="left" w:pos="123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Область научных интересов: </w:t>
            </w:r>
            <w:r>
              <w:rPr>
                <w:sz w:val="24"/>
                <w:szCs w:val="24"/>
                <w:lang w:val="kk-KZ"/>
              </w:rPr>
              <w:t>1) В</w:t>
            </w:r>
            <w:r>
              <w:rPr>
                <w:sz w:val="24"/>
                <w:szCs w:val="24"/>
                <w:lang w:val="ru-RU"/>
              </w:rPr>
              <w:t xml:space="preserve"> соответствии с базовой научной специализацией</w:t>
            </w:r>
            <w:r w:rsidR="00043470">
              <w:rPr>
                <w:sz w:val="24"/>
                <w:szCs w:val="24"/>
                <w:lang w:val="ru-RU"/>
              </w:rPr>
              <w:t xml:space="preserve"> «Физика полупроводников и диэлектриков. Диэлектрическая спектроскопия»</w:t>
            </w:r>
            <w:r>
              <w:rPr>
                <w:sz w:val="24"/>
                <w:szCs w:val="24"/>
                <w:lang w:val="ru-RU"/>
              </w:rPr>
              <w:t>: Теоретическая и математическая физика; физика твердого тела; физика конденсированного состояния; физика</w:t>
            </w:r>
            <w:r w:rsidR="00043470">
              <w:rPr>
                <w:sz w:val="24"/>
                <w:szCs w:val="24"/>
                <w:lang w:val="ru-RU"/>
              </w:rPr>
              <w:t xml:space="preserve"> ионных</w:t>
            </w:r>
            <w:r>
              <w:rPr>
                <w:sz w:val="24"/>
                <w:szCs w:val="24"/>
                <w:lang w:val="ru-RU"/>
              </w:rPr>
              <w:t xml:space="preserve"> диэлектриков; диэлектрическая спектроскопия</w:t>
            </w:r>
            <w:r w:rsidR="00043470">
              <w:rPr>
                <w:sz w:val="24"/>
                <w:szCs w:val="24"/>
                <w:lang w:val="ru-RU"/>
              </w:rPr>
              <w:t xml:space="preserve"> кристаллов с ионно-молекулярными химическими связями</w:t>
            </w:r>
            <w:r>
              <w:rPr>
                <w:sz w:val="24"/>
                <w:szCs w:val="24"/>
                <w:lang w:val="ru-RU"/>
              </w:rPr>
              <w:t>; 2</w:t>
            </w:r>
            <w:r>
              <w:rPr>
                <w:sz w:val="24"/>
                <w:szCs w:val="24"/>
                <w:lang w:val="kk-KZ"/>
              </w:rPr>
              <w:t>) В</w:t>
            </w:r>
            <w:r>
              <w:rPr>
                <w:sz w:val="24"/>
                <w:szCs w:val="24"/>
                <w:lang w:val="ru-RU"/>
              </w:rPr>
              <w:t xml:space="preserve"> соответствии со специализацией кафедры «Энергетические системы»: Теоретическая теплотехника; гидродинамика и газодинамика; механика жидкости и газа; теория турбинных установок тепловых и атомных электрических станций; теоретические основы атомной и термоядерной энергетики (нелинейные термодинамические и электродинамические  явления в высокотемпературной плотной плазме в магнитном поле, возмущаемой электромагнитными волнами).</w:t>
            </w:r>
          </w:p>
          <w:p w:rsidR="00364502" w:rsidRDefault="00C6685B">
            <w:pPr>
              <w:tabs>
                <w:tab w:val="left" w:pos="123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bookmarkStart w:id="1" w:name="_GoBack"/>
            <w:bookmarkEnd w:id="1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2. На настоящий момент времени являюсь исполнителем по проекту грантового финансирования: ПЦФ BR19980899 «Разработка системы мониторинга геотехнического состояния горных выработок шахт и карьеров на основе интеллектуальных волоконно-оптических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датчиков», 2023-2025гг. </w:t>
            </w:r>
          </w:p>
          <w:p w:rsidR="00364502" w:rsidRDefault="00C6685B">
            <w:pPr>
              <w:tabs>
                <w:tab w:val="left" w:pos="123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3. Имеется опыт участия в трех проектах грантового финансирования в качестве исполнителя с 2018 г. по настоящее время.</w:t>
            </w:r>
          </w:p>
          <w:p w:rsidR="00364502" w:rsidRDefault="00C6685B">
            <w:pPr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4. Решением Президиума Международной Академии Информатизации (МАИН) от 24 марта 2023 года, награжден Юбилейной Золотой медалью за значительный вклад в развитие Академии.</w:t>
            </w:r>
          </w:p>
          <w:p w:rsidR="00364502" w:rsidRDefault="00C6685B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  <w:lang w:val="ru-RU"/>
              </w:rPr>
            </w:pPr>
            <w:r>
              <w:rPr>
                <w:rFonts w:eastAsia="SimSun"/>
                <w:sz w:val="24"/>
                <w:szCs w:val="24"/>
                <w:lang w:val="ru-RU"/>
              </w:rPr>
              <w:t>5. Удостоен 3-го места в Номинации «Лучший ученый-инноватор» за особый вклад в развитие университета в 2023 г., решением ученого Совета НАО «Карагандинский технический университет имени Абылкаса Сагинова».</w:t>
            </w:r>
          </w:p>
          <w:p w:rsidR="00364502" w:rsidRDefault="00C6685B">
            <w:pPr>
              <w:tabs>
                <w:tab w:val="left" w:pos="123"/>
              </w:tabs>
              <w:spacing w:after="0" w:line="240" w:lineRule="auto"/>
              <w:jc w:val="both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rFonts w:eastAsia="SimSun"/>
                <w:sz w:val="24"/>
                <w:szCs w:val="24"/>
                <w:lang w:val="ru-RU"/>
              </w:rPr>
              <w:t>6. В 2024 году</w:t>
            </w:r>
            <w:r>
              <w:rPr>
                <w:rFonts w:eastAsia="SimSun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val="ru-RU"/>
              </w:rPr>
              <w:t>награжден Благодарственной Грамотой от имени Ректора НАО «Карагандинский технический университет имени Абылкаса Сагинова», д.э.н., профессора Сагинтаевой С.С. за Значительный вклад в развитие науки в университете и вклад в Обучение студентов.</w:t>
            </w:r>
          </w:p>
        </w:tc>
      </w:tr>
    </w:tbl>
    <w:p w:rsidR="00364502" w:rsidRDefault="00364502">
      <w:pPr>
        <w:spacing w:after="0"/>
        <w:jc w:val="both"/>
        <w:rPr>
          <w:color w:val="000000"/>
          <w:sz w:val="28"/>
          <w:lang w:val="ru-RU"/>
        </w:rPr>
      </w:pPr>
    </w:p>
    <w:p w:rsidR="00364502" w:rsidRDefault="00364502">
      <w:pPr>
        <w:spacing w:after="0"/>
        <w:jc w:val="both"/>
        <w:rPr>
          <w:color w:val="000000"/>
          <w:sz w:val="28"/>
          <w:lang w:val="ru-RU"/>
        </w:rPr>
      </w:pPr>
    </w:p>
    <w:p w:rsidR="00364502" w:rsidRDefault="00364502">
      <w:pPr>
        <w:spacing w:after="0"/>
        <w:jc w:val="both"/>
        <w:rPr>
          <w:color w:val="000000"/>
          <w:sz w:val="28"/>
          <w:lang w:val="ru-RU"/>
        </w:rPr>
      </w:pPr>
    </w:p>
    <w:p w:rsidR="00364502" w:rsidRDefault="00C6685B">
      <w:pPr>
        <w:spacing w:after="0"/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Заведующая кафедрой «Энергетические системы»</w:t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ab/>
        <w:t xml:space="preserve">Е.Г. Нешина </w:t>
      </w:r>
    </w:p>
    <w:sectPr w:rsidR="00364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B9F" w:rsidRDefault="00073B9F">
      <w:pPr>
        <w:spacing w:line="240" w:lineRule="auto"/>
      </w:pPr>
      <w:r>
        <w:separator/>
      </w:r>
    </w:p>
  </w:endnote>
  <w:endnote w:type="continuationSeparator" w:id="0">
    <w:p w:rsidR="00073B9F" w:rsidRDefault="00073B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B9F" w:rsidRDefault="00073B9F">
      <w:pPr>
        <w:spacing w:after="0"/>
      </w:pPr>
      <w:r>
        <w:separator/>
      </w:r>
    </w:p>
  </w:footnote>
  <w:footnote w:type="continuationSeparator" w:id="0">
    <w:p w:rsidR="00073B9F" w:rsidRDefault="00073B9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7E"/>
    <w:rsid w:val="0003605C"/>
    <w:rsid w:val="00043470"/>
    <w:rsid w:val="00043D88"/>
    <w:rsid w:val="00056B29"/>
    <w:rsid w:val="00073B9F"/>
    <w:rsid w:val="00084E1F"/>
    <w:rsid w:val="00100A81"/>
    <w:rsid w:val="00103274"/>
    <w:rsid w:val="00117A25"/>
    <w:rsid w:val="0013045B"/>
    <w:rsid w:val="00132314"/>
    <w:rsid w:val="00147715"/>
    <w:rsid w:val="00173D14"/>
    <w:rsid w:val="001A2450"/>
    <w:rsid w:val="001B7838"/>
    <w:rsid w:val="00232949"/>
    <w:rsid w:val="00233F68"/>
    <w:rsid w:val="00274C79"/>
    <w:rsid w:val="00276BD7"/>
    <w:rsid w:val="002806BF"/>
    <w:rsid w:val="0029170B"/>
    <w:rsid w:val="002A40D4"/>
    <w:rsid w:val="002A5916"/>
    <w:rsid w:val="002A61BB"/>
    <w:rsid w:val="002A6682"/>
    <w:rsid w:val="002A780E"/>
    <w:rsid w:val="002A7BA7"/>
    <w:rsid w:val="002B3A26"/>
    <w:rsid w:val="002B68BD"/>
    <w:rsid w:val="002C2226"/>
    <w:rsid w:val="002C4DFF"/>
    <w:rsid w:val="002D185D"/>
    <w:rsid w:val="00305890"/>
    <w:rsid w:val="00314C59"/>
    <w:rsid w:val="003307DE"/>
    <w:rsid w:val="00364502"/>
    <w:rsid w:val="00383E1D"/>
    <w:rsid w:val="00384908"/>
    <w:rsid w:val="00385DA0"/>
    <w:rsid w:val="003964F7"/>
    <w:rsid w:val="003A1494"/>
    <w:rsid w:val="003E7092"/>
    <w:rsid w:val="004175F9"/>
    <w:rsid w:val="00460CCD"/>
    <w:rsid w:val="00461221"/>
    <w:rsid w:val="00483B4A"/>
    <w:rsid w:val="004C0971"/>
    <w:rsid w:val="004C7F24"/>
    <w:rsid w:val="004F1A95"/>
    <w:rsid w:val="005106F0"/>
    <w:rsid w:val="00512C0D"/>
    <w:rsid w:val="00514179"/>
    <w:rsid w:val="00515A46"/>
    <w:rsid w:val="00522980"/>
    <w:rsid w:val="00537265"/>
    <w:rsid w:val="005401B2"/>
    <w:rsid w:val="005B3BB7"/>
    <w:rsid w:val="005B3C1A"/>
    <w:rsid w:val="005B614D"/>
    <w:rsid w:val="00620F1B"/>
    <w:rsid w:val="00641E71"/>
    <w:rsid w:val="00671E86"/>
    <w:rsid w:val="00681243"/>
    <w:rsid w:val="0068170D"/>
    <w:rsid w:val="00687204"/>
    <w:rsid w:val="006970FD"/>
    <w:rsid w:val="006D631B"/>
    <w:rsid w:val="006D65B4"/>
    <w:rsid w:val="006E1B4F"/>
    <w:rsid w:val="006F02FA"/>
    <w:rsid w:val="00707EFA"/>
    <w:rsid w:val="007166BA"/>
    <w:rsid w:val="00763772"/>
    <w:rsid w:val="0077698C"/>
    <w:rsid w:val="00777198"/>
    <w:rsid w:val="007A1940"/>
    <w:rsid w:val="007B1768"/>
    <w:rsid w:val="007D11BF"/>
    <w:rsid w:val="007D5B21"/>
    <w:rsid w:val="007F2F12"/>
    <w:rsid w:val="0081716F"/>
    <w:rsid w:val="00842060"/>
    <w:rsid w:val="00865627"/>
    <w:rsid w:val="00874778"/>
    <w:rsid w:val="00890E6E"/>
    <w:rsid w:val="008A1CC6"/>
    <w:rsid w:val="008D1DB4"/>
    <w:rsid w:val="008E0DE9"/>
    <w:rsid w:val="008E4121"/>
    <w:rsid w:val="00903C88"/>
    <w:rsid w:val="0090698A"/>
    <w:rsid w:val="00923D23"/>
    <w:rsid w:val="009377CF"/>
    <w:rsid w:val="00941B15"/>
    <w:rsid w:val="00976CF9"/>
    <w:rsid w:val="00990E8E"/>
    <w:rsid w:val="00A145AA"/>
    <w:rsid w:val="00A42AE3"/>
    <w:rsid w:val="00AB19E4"/>
    <w:rsid w:val="00AB41E1"/>
    <w:rsid w:val="00AB43BB"/>
    <w:rsid w:val="00AE2AE2"/>
    <w:rsid w:val="00B118FD"/>
    <w:rsid w:val="00B41407"/>
    <w:rsid w:val="00B47581"/>
    <w:rsid w:val="00B514E1"/>
    <w:rsid w:val="00B7558A"/>
    <w:rsid w:val="00B81B86"/>
    <w:rsid w:val="00BB7984"/>
    <w:rsid w:val="00BD1AEA"/>
    <w:rsid w:val="00C02C6C"/>
    <w:rsid w:val="00C0721C"/>
    <w:rsid w:val="00C2685D"/>
    <w:rsid w:val="00C376FD"/>
    <w:rsid w:val="00C41A8F"/>
    <w:rsid w:val="00C5166C"/>
    <w:rsid w:val="00C539DE"/>
    <w:rsid w:val="00C62F7E"/>
    <w:rsid w:val="00C6685B"/>
    <w:rsid w:val="00C87080"/>
    <w:rsid w:val="00C93420"/>
    <w:rsid w:val="00CA7CE8"/>
    <w:rsid w:val="00CB2D16"/>
    <w:rsid w:val="00CC7387"/>
    <w:rsid w:val="00CD2494"/>
    <w:rsid w:val="00D177CD"/>
    <w:rsid w:val="00D22C7B"/>
    <w:rsid w:val="00D32919"/>
    <w:rsid w:val="00D9274A"/>
    <w:rsid w:val="00DC04AC"/>
    <w:rsid w:val="00DE5D48"/>
    <w:rsid w:val="00E13CC8"/>
    <w:rsid w:val="00E26259"/>
    <w:rsid w:val="00E36E6D"/>
    <w:rsid w:val="00E5486D"/>
    <w:rsid w:val="00E62167"/>
    <w:rsid w:val="00E76B18"/>
    <w:rsid w:val="00E8101B"/>
    <w:rsid w:val="00E854EB"/>
    <w:rsid w:val="00E92356"/>
    <w:rsid w:val="00EA06C2"/>
    <w:rsid w:val="00EC7C0C"/>
    <w:rsid w:val="00F21055"/>
    <w:rsid w:val="00F26F10"/>
    <w:rsid w:val="00F407C5"/>
    <w:rsid w:val="00F62C7D"/>
    <w:rsid w:val="00F677BD"/>
    <w:rsid w:val="00FA4893"/>
    <w:rsid w:val="00FC7835"/>
    <w:rsid w:val="00FD52F3"/>
    <w:rsid w:val="00FF6A00"/>
    <w:rsid w:val="272E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4D922"/>
  <w15:docId w15:val="{CAB1C84C-7C8F-4F2B-8C20-6405255B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mail-y2iqfc">
    <w:name w:val="gmail-y2iqfc"/>
    <w:basedOn w:val="a0"/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EF457-7B16-4F74-9652-E614F256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Ainagyl</dc:creator>
  <cp:lastModifiedBy>user-PC</cp:lastModifiedBy>
  <cp:revision>19</cp:revision>
  <cp:lastPrinted>2025-02-11T03:06:00Z</cp:lastPrinted>
  <dcterms:created xsi:type="dcterms:W3CDTF">2025-02-05T10:54:00Z</dcterms:created>
  <dcterms:modified xsi:type="dcterms:W3CDTF">2025-04-17T09:10:00Z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098D6D9444EA4129A6CD29F741E3A403_12</vt:lpwstr>
  </property>
</Properties>
</file>