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7163" w14:textId="77777777" w:rsidR="00C62F7E" w:rsidRPr="0099553A" w:rsidRDefault="00C62F7E" w:rsidP="00C62F7E">
      <w:pPr>
        <w:spacing w:after="0"/>
        <w:jc w:val="center"/>
        <w:rPr>
          <w:color w:val="000000" w:themeColor="text1"/>
          <w:sz w:val="26"/>
          <w:szCs w:val="26"/>
          <w:lang w:val="ru-RU"/>
        </w:rPr>
      </w:pPr>
      <w:bookmarkStart w:id="0" w:name="z78"/>
      <w:r w:rsidRPr="0099553A">
        <w:rPr>
          <w:color w:val="000000" w:themeColor="text1"/>
          <w:sz w:val="26"/>
          <w:szCs w:val="26"/>
          <w:lang w:val="ru-RU"/>
        </w:rPr>
        <w:t>Справка</w:t>
      </w:r>
    </w:p>
    <w:bookmarkEnd w:id="0"/>
    <w:p w14:paraId="1092B145" w14:textId="77777777" w:rsidR="00C87080" w:rsidRPr="0099553A" w:rsidRDefault="00C62F7E" w:rsidP="00C62F7E">
      <w:pPr>
        <w:spacing w:after="0"/>
        <w:jc w:val="center"/>
        <w:rPr>
          <w:color w:val="000000" w:themeColor="text1"/>
          <w:sz w:val="26"/>
          <w:szCs w:val="26"/>
          <w:lang w:val="ru-RU"/>
        </w:rPr>
      </w:pPr>
      <w:r w:rsidRPr="0099553A">
        <w:rPr>
          <w:color w:val="000000" w:themeColor="text1"/>
          <w:sz w:val="26"/>
          <w:szCs w:val="26"/>
          <w:lang w:val="ru-RU"/>
        </w:rPr>
        <w:t xml:space="preserve">о соискателе ученого звания ассоциированного профессора (доцента) </w:t>
      </w:r>
    </w:p>
    <w:p w14:paraId="38CFC707" w14:textId="72AAD2D0" w:rsidR="00663DA2" w:rsidRPr="0099553A" w:rsidRDefault="00663DA2" w:rsidP="00663DA2">
      <w:pPr>
        <w:spacing w:after="0" w:line="240" w:lineRule="auto"/>
        <w:jc w:val="center"/>
        <w:rPr>
          <w:color w:val="000000" w:themeColor="text1"/>
          <w:sz w:val="26"/>
          <w:szCs w:val="26"/>
          <w:lang w:val="ru-RU" w:eastAsia="ru-RU"/>
        </w:rPr>
      </w:pPr>
      <w:r w:rsidRPr="0099553A">
        <w:rPr>
          <w:color w:val="000000" w:themeColor="text1"/>
          <w:sz w:val="26"/>
          <w:szCs w:val="26"/>
          <w:lang w:val="ru-RU" w:eastAsia="ru-RU"/>
        </w:rPr>
        <w:t xml:space="preserve">по научному направлению </w:t>
      </w:r>
      <w:r w:rsidR="00156928" w:rsidRPr="0099553A">
        <w:rPr>
          <w:color w:val="000000" w:themeColor="text1"/>
          <w:sz w:val="26"/>
          <w:szCs w:val="26"/>
          <w:lang w:val="ru-RU" w:eastAsia="ru-RU"/>
        </w:rPr>
        <w:t>502</w:t>
      </w:r>
      <w:r w:rsidRPr="0099553A">
        <w:rPr>
          <w:color w:val="000000" w:themeColor="text1"/>
          <w:sz w:val="26"/>
          <w:szCs w:val="26"/>
          <w:lang w:val="ru-RU" w:eastAsia="ru-RU"/>
        </w:rPr>
        <w:t xml:space="preserve">00 – </w:t>
      </w:r>
      <w:r w:rsidR="00156928" w:rsidRPr="0099553A">
        <w:rPr>
          <w:color w:val="000000" w:themeColor="text1"/>
          <w:sz w:val="26"/>
          <w:szCs w:val="26"/>
          <w:lang w:val="ru-RU" w:eastAsia="ru-RU"/>
        </w:rPr>
        <w:t>Экономика и бизнес</w:t>
      </w:r>
      <w:r w:rsidRPr="0099553A">
        <w:rPr>
          <w:color w:val="000000" w:themeColor="text1"/>
          <w:sz w:val="26"/>
          <w:szCs w:val="26"/>
          <w:lang w:val="ru-RU" w:eastAsia="ru-RU"/>
        </w:rPr>
        <w:t xml:space="preserve"> </w:t>
      </w:r>
    </w:p>
    <w:p w14:paraId="1E904DE8" w14:textId="317CA3E9" w:rsidR="00663DA2" w:rsidRPr="0099553A" w:rsidRDefault="00663DA2" w:rsidP="00663DA2">
      <w:pPr>
        <w:spacing w:after="0" w:line="240" w:lineRule="auto"/>
        <w:jc w:val="center"/>
        <w:rPr>
          <w:color w:val="000000" w:themeColor="text1"/>
          <w:sz w:val="26"/>
          <w:szCs w:val="26"/>
          <w:lang w:val="ru-RU" w:eastAsia="ru-RU"/>
        </w:rPr>
      </w:pPr>
      <w:r w:rsidRPr="0099553A">
        <w:rPr>
          <w:color w:val="000000" w:themeColor="text1"/>
          <w:sz w:val="26"/>
          <w:szCs w:val="26"/>
          <w:lang w:val="ru-RU" w:eastAsia="ru-RU"/>
        </w:rPr>
        <w:t>(специальность 0</w:t>
      </w:r>
      <w:r w:rsidR="00156928" w:rsidRPr="0099553A">
        <w:rPr>
          <w:color w:val="000000" w:themeColor="text1"/>
          <w:sz w:val="26"/>
          <w:szCs w:val="26"/>
          <w:lang w:eastAsia="ru-RU"/>
        </w:rPr>
        <w:t>8</w:t>
      </w:r>
      <w:r w:rsidRPr="0099553A">
        <w:rPr>
          <w:color w:val="000000" w:themeColor="text1"/>
          <w:sz w:val="26"/>
          <w:szCs w:val="26"/>
          <w:lang w:val="ru-RU" w:eastAsia="ru-RU"/>
        </w:rPr>
        <w:t xml:space="preserve">.00.00 – </w:t>
      </w:r>
      <w:r w:rsidR="00156928" w:rsidRPr="0099553A">
        <w:rPr>
          <w:color w:val="000000" w:themeColor="text1"/>
          <w:sz w:val="26"/>
          <w:szCs w:val="26"/>
          <w:lang w:val="ru-RU" w:eastAsia="ru-RU"/>
        </w:rPr>
        <w:t>Экономика</w:t>
      </w:r>
      <w:r w:rsidRPr="0099553A">
        <w:rPr>
          <w:color w:val="000000" w:themeColor="text1"/>
          <w:sz w:val="26"/>
          <w:szCs w:val="26"/>
          <w:lang w:val="ru-RU" w:eastAsia="ru-RU"/>
        </w:rPr>
        <w:t>)</w:t>
      </w:r>
    </w:p>
    <w:p w14:paraId="166D9C67" w14:textId="77777777" w:rsidR="00C87080" w:rsidRPr="0099553A" w:rsidRDefault="00C87080" w:rsidP="00C62F7E">
      <w:pPr>
        <w:spacing w:after="0"/>
        <w:jc w:val="center"/>
        <w:rPr>
          <w:color w:val="000000" w:themeColor="text1"/>
          <w:sz w:val="24"/>
          <w:szCs w:val="24"/>
          <w:lang w:val="ru-RU"/>
        </w:rPr>
      </w:pPr>
    </w:p>
    <w:tbl>
      <w:tblPr>
        <w:tblW w:w="962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32"/>
        <w:gridCol w:w="4820"/>
      </w:tblGrid>
      <w:tr w:rsidR="0099553A" w:rsidRPr="0099553A" w14:paraId="3BCF3626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0E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C821" w14:textId="77777777" w:rsidR="00C62F7E" w:rsidRPr="0099553A" w:rsidRDefault="00C62F7E" w:rsidP="00C81D16">
            <w:pPr>
              <w:spacing w:after="0"/>
              <w:ind w:left="20" w:right="12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4094" w14:textId="6F33F398" w:rsidR="00C62F7E" w:rsidRPr="0099553A" w:rsidRDefault="00156928" w:rsidP="00C81D16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553A">
              <w:rPr>
                <w:b/>
                <w:color w:val="000000" w:themeColor="text1"/>
                <w:sz w:val="24"/>
                <w:szCs w:val="24"/>
                <w:lang w:val="ru-RU"/>
              </w:rPr>
              <w:t>Шаметова</w:t>
            </w:r>
            <w:proofErr w:type="spellEnd"/>
            <w:r w:rsidRPr="0099553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53A">
              <w:rPr>
                <w:b/>
                <w:color w:val="000000" w:themeColor="text1"/>
                <w:sz w:val="24"/>
                <w:szCs w:val="24"/>
                <w:lang w:val="ru-RU"/>
              </w:rPr>
              <w:t>Айгерим</w:t>
            </w:r>
            <w:proofErr w:type="spellEnd"/>
            <w:r w:rsidRPr="0099553A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553A">
              <w:rPr>
                <w:b/>
                <w:color w:val="000000" w:themeColor="text1"/>
                <w:sz w:val="24"/>
                <w:szCs w:val="24"/>
                <w:lang w:val="ru-RU"/>
              </w:rPr>
              <w:t>Аманбаевна</w:t>
            </w:r>
            <w:proofErr w:type="spellEnd"/>
          </w:p>
        </w:tc>
      </w:tr>
      <w:tr w:rsidR="0099553A" w:rsidRPr="005463AC" w14:paraId="1AD91C44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D151E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FD40C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02011" w14:textId="77777777" w:rsidR="005463AC" w:rsidRDefault="00156928" w:rsidP="00C81D16">
            <w:pPr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Кандидат экономических наук по специальности 08.00.05 «Экономика и управление народным хозяйством» (Решение 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>Высшего аттестационного к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омитета М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 xml:space="preserve">инистерства образования и науки </w:t>
            </w:r>
            <w:r w:rsidR="005463AC" w:rsidRPr="0099553A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 xml:space="preserve">еспублики </w:t>
            </w:r>
            <w:r w:rsidR="005463AC" w:rsidRPr="0099553A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>азахстан</w:t>
            </w:r>
            <w:r w:rsidR="005463AC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25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 xml:space="preserve"> марта 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2004 г. протокол №</w:t>
            </w:r>
            <w:r w:rsidR="005463A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3-п), </w:t>
            </w:r>
          </w:p>
          <w:p w14:paraId="3976BA62" w14:textId="5B955B03" w:rsidR="00C62F7E" w:rsidRPr="0099553A" w:rsidRDefault="00156928" w:rsidP="00C81D16">
            <w:pPr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диплом № 0011184</w:t>
            </w:r>
            <w:r w:rsidR="008D44FC" w:rsidRPr="0099553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9553A" w:rsidRPr="0099553A" w14:paraId="6D276E0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2E4E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1265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Ученое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звание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7F0B" w14:textId="70467E27" w:rsidR="00C62F7E" w:rsidRPr="0099553A" w:rsidRDefault="002C2226" w:rsidP="00C81D16">
            <w:pPr>
              <w:spacing w:after="0"/>
              <w:ind w:left="118" w:right="15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99553A" w:rsidRPr="0099553A" w14:paraId="3349A82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43897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C80E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Почетное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звание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9AB4" w14:textId="78E47AC3" w:rsidR="00C62F7E" w:rsidRPr="0099553A" w:rsidRDefault="002C2226" w:rsidP="00C81D16">
            <w:pPr>
              <w:spacing w:after="0"/>
              <w:ind w:left="118" w:right="155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99553A" w:rsidRPr="005463AC" w14:paraId="6F02A5B1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EC49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799F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7450" w14:textId="77777777" w:rsidR="005463AC" w:rsidRDefault="0099553A" w:rsidP="00C81D16">
            <w:pPr>
              <w:pStyle w:val="a3"/>
              <w:tabs>
                <w:tab w:val="left" w:pos="280"/>
                <w:tab w:val="left" w:pos="401"/>
              </w:tabs>
              <w:spacing w:after="0"/>
              <w:ind w:left="118" w:right="11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И.о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. доцента кафедры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ЭиМП</w:t>
            </w:r>
            <w:proofErr w:type="spellEnd"/>
            <w:r w:rsidR="004C0971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4CAB9F14" w14:textId="3E66C2FF" w:rsidR="00C62F7E" w:rsidRPr="005463AC" w:rsidRDefault="005463AC" w:rsidP="005463AC">
            <w:pPr>
              <w:tabs>
                <w:tab w:val="left" w:pos="280"/>
                <w:tab w:val="left" w:pos="401"/>
              </w:tabs>
              <w:spacing w:after="0"/>
              <w:ind w:right="119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C0971" w:rsidRPr="005463AC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="00E80544" w:rsidRPr="005463AC">
              <w:rPr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 w:rsidR="0099553A" w:rsidRPr="005463AC">
              <w:rPr>
                <w:color w:val="000000" w:themeColor="text1"/>
                <w:sz w:val="24"/>
                <w:szCs w:val="24"/>
                <w:lang w:val="ru-RU"/>
              </w:rPr>
              <w:t xml:space="preserve">621 </w:t>
            </w:r>
            <w:proofErr w:type="spellStart"/>
            <w:proofErr w:type="gramStart"/>
            <w:r w:rsidR="0099553A" w:rsidRPr="005463AC">
              <w:rPr>
                <w:color w:val="000000" w:themeColor="text1"/>
                <w:sz w:val="24"/>
                <w:szCs w:val="24"/>
                <w:lang w:val="ru-RU"/>
              </w:rPr>
              <w:t>лс</w:t>
            </w:r>
            <w:proofErr w:type="spellEnd"/>
            <w:r w:rsidR="0099553A" w:rsidRPr="005463A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1183F" w:rsidRPr="005463A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80544" w:rsidRPr="005463AC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  <w:proofErr w:type="gramEnd"/>
            <w:r w:rsidR="00E80544" w:rsidRPr="005463AC">
              <w:rPr>
                <w:color w:val="000000" w:themeColor="text1"/>
                <w:sz w:val="24"/>
                <w:szCs w:val="24"/>
                <w:lang w:val="ru-RU"/>
              </w:rPr>
              <w:t xml:space="preserve"> 01.</w:t>
            </w:r>
            <w:r w:rsidR="0099553A" w:rsidRPr="005463AC">
              <w:rPr>
                <w:color w:val="000000" w:themeColor="text1"/>
                <w:sz w:val="24"/>
                <w:szCs w:val="24"/>
                <w:lang w:val="ru-RU"/>
              </w:rPr>
              <w:t>09</w:t>
            </w:r>
            <w:r w:rsidR="00E80544" w:rsidRPr="005463AC">
              <w:rPr>
                <w:color w:val="000000" w:themeColor="text1"/>
                <w:sz w:val="24"/>
                <w:szCs w:val="24"/>
                <w:lang w:val="ru-RU"/>
              </w:rPr>
              <w:t>.20</w:t>
            </w:r>
            <w:r w:rsidR="0099553A" w:rsidRPr="005463AC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  <w:r w:rsidR="008D44FC" w:rsidRPr="005463AC"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r w:rsidR="00E80544" w:rsidRPr="005463AC">
              <w:rPr>
                <w:color w:val="000000" w:themeColor="text1"/>
                <w:sz w:val="24"/>
                <w:szCs w:val="24"/>
                <w:lang w:val="ru-RU"/>
              </w:rPr>
              <w:t>г.)</w:t>
            </w:r>
            <w:r w:rsidR="00FC0B56" w:rsidRPr="005463AC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9553A" w:rsidRPr="005463AC" w14:paraId="141D20C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B78ED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AFF3B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39D3" w14:textId="6343F13F" w:rsidR="00C62F7E" w:rsidRPr="0099553A" w:rsidRDefault="00336362" w:rsidP="00C81D16">
            <w:pPr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Общий педагогический стаж </w:t>
            </w:r>
            <w:r w:rsidR="0099553A" w:rsidRPr="0099553A">
              <w:rPr>
                <w:color w:val="000000" w:themeColor="text1"/>
                <w:sz w:val="24"/>
                <w:szCs w:val="24"/>
                <w:lang w:val="kk-KZ" w:eastAsia="ru-RU"/>
              </w:rPr>
              <w:t>25</w:t>
            </w:r>
            <w:r w:rsidR="004C0971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лет </w:t>
            </w:r>
            <w:r w:rsidR="0099553A" w:rsidRPr="0099553A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="004C0971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месяц</w:t>
            </w:r>
            <w:r w:rsidR="0099553A" w:rsidRPr="0099553A">
              <w:rPr>
                <w:color w:val="000000" w:themeColor="text1"/>
                <w:sz w:val="24"/>
                <w:szCs w:val="24"/>
                <w:lang w:val="ru-RU"/>
              </w:rPr>
              <w:t>ев</w:t>
            </w:r>
            <w:r w:rsidR="004C0971" w:rsidRPr="0099553A">
              <w:rPr>
                <w:color w:val="000000" w:themeColor="text1"/>
                <w:sz w:val="24"/>
                <w:szCs w:val="24"/>
                <w:lang w:val="ru-RU"/>
              </w:rPr>
              <w:t>, в том числе в</w:t>
            </w:r>
            <w:r w:rsidR="00DF0C70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должности 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доцента – </w:t>
            </w:r>
            <w:r w:rsidR="0099553A" w:rsidRPr="0099553A">
              <w:rPr>
                <w:color w:val="000000" w:themeColor="text1"/>
                <w:sz w:val="24"/>
                <w:szCs w:val="24"/>
                <w:lang w:val="ru-RU"/>
              </w:rPr>
              <w:t>7 лет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6 месяцев</w:t>
            </w:r>
            <w:r w:rsidR="008D44FC" w:rsidRPr="0099553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99553A" w:rsidRPr="005463AC" w14:paraId="21651FD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E626E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F964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C97" w14:textId="6BB71760" w:rsidR="00C62F7E" w:rsidRPr="0099553A" w:rsidRDefault="00C62F7E" w:rsidP="00276D35">
            <w:pPr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Всего</w:t>
            </w:r>
            <w:r w:rsidR="003A7AA7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212E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39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6D65B4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1368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в том числе </w:t>
            </w:r>
            <w:r w:rsidR="002212E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11</w:t>
            </w:r>
            <w:r w:rsidR="00A1368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r w:rsidR="00276D35" w:rsidRPr="0099553A">
              <w:rPr>
                <w:color w:val="000000" w:themeColor="text1"/>
                <w:sz w:val="24"/>
                <w:szCs w:val="24"/>
                <w:lang w:val="ru-RU"/>
              </w:rPr>
              <w:t>в изданиях, рекомендуемых уполномоченным органом</w:t>
            </w:r>
            <w:r w:rsidR="00961FF9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961FF9" w:rsidRPr="00961FF9">
              <w:rPr>
                <w:color w:val="000000" w:themeColor="text1"/>
                <w:sz w:val="24"/>
                <w:szCs w:val="24"/>
                <w:lang w:val="ru-RU"/>
              </w:rPr>
              <w:t>КОКСОН МНВО РК</w:t>
            </w:r>
            <w:r w:rsidR="00961FF9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="004D6DEC" w:rsidRPr="0099553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r w:rsidR="00A13685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12E9" w:rsidRPr="0099553A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A13685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–</w:t>
            </w:r>
            <w:r w:rsidR="00276D35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научных 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журналах</w:t>
            </w:r>
            <w:r w:rsidR="00B41407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, входящих 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 баз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ы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компании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Clarivate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Analytics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(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Кларивэйт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Аналитикс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) (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Web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of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Science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Core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Collection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Clarivate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Analytics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(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Вэб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оф 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Сайнс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Кор 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Коллекшн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Кларивэйт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Аналитикс</w:t>
            </w:r>
            <w:proofErr w:type="spellEnd"/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))</w:t>
            </w:r>
            <w:r w:rsidR="004D6DEC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276D3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212E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3</w:t>
            </w:r>
            <w:r w:rsidR="00A13685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="00961FF9" w:rsidRPr="00961FF9">
              <w:rPr>
                <w:lang w:val="ru-RU"/>
              </w:rPr>
              <w:t xml:space="preserve"> </w:t>
            </w:r>
            <w:r w:rsidR="00961FF9" w:rsidRPr="00961FF9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 научных журналах, входящих в баз</w:t>
            </w:r>
            <w:r w:rsidR="00961FF9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у</w:t>
            </w:r>
            <w:r w:rsidR="00961FF9" w:rsidRPr="00961FF9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Scopus</w:t>
            </w:r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(</w:t>
            </w:r>
            <w:proofErr w:type="spellStart"/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Скопус</w:t>
            </w:r>
            <w:proofErr w:type="spellEnd"/>
            <w:r w:rsidR="00E92356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)</w:t>
            </w:r>
            <w:r w:rsidR="00DF5F7F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DF5F7F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44665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в том числе </w:t>
            </w:r>
            <w:r w:rsidR="003724FE" w:rsidRPr="0099553A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844665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E92356" w:rsidRPr="0099553A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A931D6" w:rsidRPr="0099553A"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proofErr w:type="spellStart"/>
            <w:r w:rsidR="00E92356" w:rsidRPr="0099553A">
              <w:rPr>
                <w:color w:val="000000" w:themeColor="text1"/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выше </w:t>
            </w:r>
            <w:r w:rsidR="00D468A5" w:rsidRPr="0099553A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  <w:r w:rsidR="00AF715B" w:rsidRPr="0099553A">
              <w:rPr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</w:tr>
      <w:tr w:rsidR="0099553A" w:rsidRPr="005463AC" w14:paraId="5B80727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2C8F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3F4B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F5D1" w14:textId="50A630D3" w:rsidR="00E92356" w:rsidRPr="0099553A" w:rsidRDefault="00E92356" w:rsidP="00C81D16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Единолично издан</w:t>
            </w:r>
            <w:r w:rsidR="00B41407" w:rsidRPr="0099553A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990E8E" w:rsidRPr="0099553A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12E9" w:rsidRPr="0099553A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12E9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учебное пособие 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в 202</w:t>
            </w:r>
            <w:r w:rsidR="002212E9" w:rsidRPr="0099553A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="00382622" w:rsidRPr="0099553A">
              <w:rPr>
                <w:color w:val="000000" w:themeColor="text1"/>
                <w:sz w:val="24"/>
                <w:szCs w:val="24"/>
                <w:lang w:val="ru-RU"/>
              </w:rPr>
              <w:t> 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г.</w:t>
            </w:r>
            <w:r w:rsidR="007F2F12" w:rsidRPr="0099553A">
              <w:rPr>
                <w:color w:val="000000" w:themeColor="text1"/>
                <w:sz w:val="24"/>
                <w:szCs w:val="24"/>
                <w:lang w:val="ru-RU"/>
              </w:rPr>
              <w:t>, рекомендованн</w:t>
            </w:r>
            <w:r w:rsidR="002212E9" w:rsidRPr="0099553A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D30826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е </w:t>
            </w:r>
            <w:r w:rsidR="007F2F12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ученым советом </w:t>
            </w:r>
            <w:proofErr w:type="spellStart"/>
            <w:r w:rsidR="007F2F12" w:rsidRPr="0099553A">
              <w:rPr>
                <w:color w:val="000000" w:themeColor="text1"/>
                <w:sz w:val="24"/>
                <w:szCs w:val="24"/>
                <w:lang w:val="ru-RU"/>
              </w:rPr>
              <w:t>КарТУ</w:t>
            </w:r>
            <w:proofErr w:type="spellEnd"/>
            <w:r w:rsidR="00E92CAA" w:rsidRPr="0099553A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24549262" w14:textId="0D17526D" w:rsidR="00B514E1" w:rsidRPr="0099553A" w:rsidRDefault="00E92356" w:rsidP="00C81D16">
            <w:pPr>
              <w:spacing w:after="0"/>
              <w:ind w:left="118" w:right="155"/>
              <w:jc w:val="both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В соавторстве изданы: </w:t>
            </w:r>
            <w:r w:rsidR="002212E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3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монографи</w:t>
            </w:r>
            <w:r w:rsidR="002212E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и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рекомендованн</w:t>
            </w:r>
            <w:r w:rsidR="00382622" w:rsidRPr="0099553A">
              <w:rPr>
                <w:color w:val="000000" w:themeColor="text1"/>
                <w:sz w:val="24"/>
                <w:szCs w:val="24"/>
                <w:lang w:val="ru-RU"/>
              </w:rPr>
              <w:t>ые</w:t>
            </w:r>
            <w:r w:rsidR="00353BA7"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научно-техническим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 советом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КарТУ</w:t>
            </w:r>
            <w:proofErr w:type="spellEnd"/>
            <w:r w:rsidR="00C827C3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7D6703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820D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4</w:t>
            </w:r>
            <w:r w:rsidR="003724FE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учебн</w:t>
            </w:r>
            <w:r w:rsidR="004B46C0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="006D65B4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пособи</w:t>
            </w:r>
            <w:r w:rsidR="00E820D9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я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, рекомендованн</w:t>
            </w:r>
            <w:r w:rsidR="004B46C0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ученым советом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КарТУ</w:t>
            </w:r>
            <w:proofErr w:type="spellEnd"/>
            <w:r w:rsidR="008478AA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имени </w:t>
            </w:r>
            <w:proofErr w:type="spellStart"/>
            <w:r w:rsidR="008478AA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Абылкаса</w:t>
            </w:r>
            <w:proofErr w:type="spellEnd"/>
            <w:r w:rsidR="008478AA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="008478AA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Сагинова</w:t>
            </w:r>
            <w:proofErr w:type="spellEnd"/>
            <w:r w:rsidR="008D44FC" w:rsidRPr="0099553A">
              <w:rPr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</w:tc>
      </w:tr>
      <w:tr w:rsidR="0099553A" w:rsidRPr="0099553A" w14:paraId="69CCFA9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60A0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BDB4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 xml:space="preserve">), 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доктора по профилю) или академическая степень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99553A">
              <w:rPr>
                <w:color w:val="000000" w:themeColor="text1"/>
                <w:sz w:val="24"/>
                <w:szCs w:val="24"/>
              </w:rPr>
              <w:t>PhD</w:t>
            </w: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B97" w14:textId="4F291FF5" w:rsidR="00C62F7E" w:rsidRPr="0099553A" w:rsidRDefault="00E92356" w:rsidP="00C81D16">
            <w:pPr>
              <w:spacing w:after="0"/>
              <w:ind w:right="12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99553A" w:rsidRPr="0099553A" w14:paraId="07EFBF5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71C8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FA52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E95" w14:textId="77777777" w:rsidR="00C62F7E" w:rsidRPr="0099553A" w:rsidRDefault="00B41407" w:rsidP="00C81D16">
            <w:pPr>
              <w:spacing w:after="0"/>
              <w:ind w:right="12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99553A" w:rsidRPr="0099553A" w14:paraId="344505DA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6391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5CAF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974" w14:textId="77BBD0B1" w:rsidR="00C62F7E" w:rsidRPr="0099553A" w:rsidRDefault="005B3C1A" w:rsidP="00C81D16">
            <w:pPr>
              <w:spacing w:after="0"/>
              <w:ind w:right="12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99553A" w:rsidRPr="005463AC" w14:paraId="63C5C7AC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4673" w14:textId="77777777" w:rsidR="00C62F7E" w:rsidRPr="0099553A" w:rsidRDefault="00C62F7E" w:rsidP="00C81D16">
            <w:pPr>
              <w:spacing w:after="0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99553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83D7" w14:textId="77777777" w:rsidR="00C62F7E" w:rsidRPr="0099553A" w:rsidRDefault="00C62F7E" w:rsidP="00C81D16">
            <w:pPr>
              <w:spacing w:after="0"/>
              <w:ind w:left="103" w:right="13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Дополнительная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CE155" w14:textId="53130B3B" w:rsidR="00C950E4" w:rsidRPr="0099553A" w:rsidRDefault="00C950E4" w:rsidP="00C950E4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128" w:right="125" w:firstLine="142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Исполнитель   раздела проекта по </w:t>
            </w:r>
            <w:proofErr w:type="gram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теме  «</w:t>
            </w:r>
            <w:proofErr w:type="gram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Оценка экономической эффективности использования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слабокосующих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углей Казахстана в металлургической отрасли на 2018-2020» по Договору  программно-целевого финансирования №209  от 19.03.2018;  </w:t>
            </w:r>
          </w:p>
          <w:p w14:paraId="48BD44F5" w14:textId="46477118" w:rsidR="00C950E4" w:rsidRPr="0099553A" w:rsidRDefault="00C950E4" w:rsidP="00C950E4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128" w:right="125" w:firstLine="142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Исполнитель  хоз.</w:t>
            </w:r>
            <w:proofErr w:type="gram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договорной темы «Разработка технологического регламента на системы разработки подземного рудника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Акжал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» (договор №014-04-2018 от 09.04.2018 г. с ТОО «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Nova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Цинк»);</w:t>
            </w:r>
          </w:p>
          <w:p w14:paraId="200B44FF" w14:textId="1DFC5212" w:rsidR="00C950E4" w:rsidRPr="0099553A" w:rsidRDefault="00C950E4" w:rsidP="00C950E4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128" w:right="125" w:firstLine="142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Исполнитель  хоз.</w:t>
            </w:r>
            <w:proofErr w:type="gram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договорной темы «Научное обоснование экономической целесообразности  добычи баритовых руд  Западного рудника 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Жайремского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ГОК» (договор №13110/2019-2649 (19.33.02)  от 22.08.2019 г. с АО «</w:t>
            </w:r>
            <w:proofErr w:type="spell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Жайремский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ГОК»);</w:t>
            </w:r>
          </w:p>
          <w:p w14:paraId="2D8BB5AF" w14:textId="3BCE8B59" w:rsidR="00E1599A" w:rsidRPr="0099553A" w:rsidRDefault="00C950E4" w:rsidP="00C950E4">
            <w:pPr>
              <w:pStyle w:val="a3"/>
              <w:numPr>
                <w:ilvl w:val="0"/>
                <w:numId w:val="2"/>
              </w:numPr>
              <w:tabs>
                <w:tab w:val="left" w:pos="422"/>
              </w:tabs>
              <w:spacing w:after="0"/>
              <w:ind w:left="128" w:right="127" w:firstLine="14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>Иполнитель</w:t>
            </w:r>
            <w:proofErr w:type="spell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хоз.</w:t>
            </w:r>
            <w:proofErr w:type="gramEnd"/>
            <w:r w:rsidRPr="0099553A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договорной темы «Научная экономическая экспертиза электроэнергетического рынка Евразийского экономического союза» (договор №21.33.01 от 03.09.2021 г. с ГУ «Министерство энергетики Республики Казахстан»).</w:t>
            </w:r>
          </w:p>
        </w:tc>
      </w:tr>
    </w:tbl>
    <w:p w14:paraId="358A0E2A" w14:textId="77777777" w:rsidR="005B3C1A" w:rsidRPr="0099553A" w:rsidRDefault="00C62F7E" w:rsidP="00C62F7E">
      <w:pPr>
        <w:spacing w:after="0"/>
        <w:jc w:val="both"/>
        <w:rPr>
          <w:color w:val="000000" w:themeColor="text1"/>
          <w:sz w:val="28"/>
          <w:lang w:val="ru-RU"/>
        </w:rPr>
      </w:pPr>
      <w:r w:rsidRPr="0099553A">
        <w:rPr>
          <w:color w:val="000000" w:themeColor="text1"/>
          <w:sz w:val="28"/>
        </w:rPr>
        <w:t>     </w:t>
      </w:r>
      <w:r w:rsidRPr="0099553A">
        <w:rPr>
          <w:color w:val="000000" w:themeColor="text1"/>
          <w:sz w:val="28"/>
          <w:lang w:val="ru-RU"/>
        </w:rPr>
        <w:t xml:space="preserve"> </w:t>
      </w:r>
    </w:p>
    <w:p w14:paraId="31ADEF34" w14:textId="38D72E61" w:rsidR="006D65B4" w:rsidRPr="005463AC" w:rsidRDefault="005463AC" w:rsidP="00C62F7E">
      <w:pPr>
        <w:spacing w:after="0"/>
        <w:jc w:val="both"/>
        <w:rPr>
          <w:b/>
          <w:color w:val="000000" w:themeColor="text1"/>
          <w:sz w:val="28"/>
          <w:lang w:val="ru-RU"/>
        </w:rPr>
      </w:pPr>
      <w:proofErr w:type="spellStart"/>
      <w:r w:rsidRPr="005463AC">
        <w:rPr>
          <w:b/>
          <w:color w:val="000000" w:themeColor="text1"/>
          <w:sz w:val="28"/>
          <w:lang w:val="ru-RU"/>
        </w:rPr>
        <w:t>И.о</w:t>
      </w:r>
      <w:proofErr w:type="spellEnd"/>
      <w:r w:rsidRPr="005463AC">
        <w:rPr>
          <w:b/>
          <w:color w:val="000000" w:themeColor="text1"/>
          <w:sz w:val="28"/>
          <w:lang w:val="ru-RU"/>
        </w:rPr>
        <w:t>. заведующий кафедрой</w:t>
      </w:r>
    </w:p>
    <w:p w14:paraId="59BFB3FF" w14:textId="6A089D42" w:rsidR="005463AC" w:rsidRPr="0099553A" w:rsidRDefault="005463AC" w:rsidP="00C62F7E">
      <w:pPr>
        <w:spacing w:after="0"/>
        <w:jc w:val="both"/>
        <w:rPr>
          <w:color w:val="000000" w:themeColor="text1"/>
          <w:sz w:val="28"/>
          <w:lang w:val="ru-RU"/>
        </w:rPr>
      </w:pPr>
      <w:r w:rsidRPr="005463AC">
        <w:rPr>
          <w:b/>
          <w:color w:val="000000" w:themeColor="text1"/>
          <w:sz w:val="28"/>
          <w:lang w:val="ru-RU"/>
        </w:rPr>
        <w:t xml:space="preserve">«Экономика и </w:t>
      </w:r>
      <w:proofErr w:type="gramStart"/>
      <w:r w:rsidRPr="005463AC">
        <w:rPr>
          <w:b/>
          <w:color w:val="000000" w:themeColor="text1"/>
          <w:sz w:val="28"/>
          <w:lang w:val="ru-RU"/>
        </w:rPr>
        <w:t>менеджмент»</w:t>
      </w:r>
      <w:r>
        <w:rPr>
          <w:b/>
          <w:color w:val="000000" w:themeColor="text1"/>
          <w:sz w:val="28"/>
          <w:lang w:val="ru-RU"/>
        </w:rPr>
        <w:t xml:space="preserve">   </w:t>
      </w:r>
      <w:proofErr w:type="gramEnd"/>
      <w:r>
        <w:rPr>
          <w:b/>
          <w:color w:val="000000" w:themeColor="text1"/>
          <w:sz w:val="28"/>
          <w:lang w:val="ru-RU"/>
        </w:rPr>
        <w:t xml:space="preserve">                                           </w:t>
      </w:r>
      <w:r w:rsidRPr="00601263">
        <w:rPr>
          <w:b/>
          <w:sz w:val="28"/>
          <w:szCs w:val="28"/>
          <w:lang w:val="kk-KZ"/>
        </w:rPr>
        <w:t>Бирюков В.В.</w:t>
      </w:r>
      <w:bookmarkStart w:id="1" w:name="_GoBack"/>
      <w:bookmarkEnd w:id="1"/>
    </w:p>
    <w:sectPr w:rsidR="005463AC" w:rsidRPr="0099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1B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447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E"/>
    <w:rsid w:val="0003605C"/>
    <w:rsid w:val="00082B7E"/>
    <w:rsid w:val="000B07FF"/>
    <w:rsid w:val="0013045B"/>
    <w:rsid w:val="00156928"/>
    <w:rsid w:val="00170CF7"/>
    <w:rsid w:val="00184302"/>
    <w:rsid w:val="001B62A9"/>
    <w:rsid w:val="001B66F8"/>
    <w:rsid w:val="001D6553"/>
    <w:rsid w:val="00217A66"/>
    <w:rsid w:val="002212E9"/>
    <w:rsid w:val="00235382"/>
    <w:rsid w:val="00256953"/>
    <w:rsid w:val="002728E7"/>
    <w:rsid w:val="00276D35"/>
    <w:rsid w:val="002B68BD"/>
    <w:rsid w:val="002C2226"/>
    <w:rsid w:val="002D6FCE"/>
    <w:rsid w:val="002F6C0F"/>
    <w:rsid w:val="00336362"/>
    <w:rsid w:val="0033713B"/>
    <w:rsid w:val="00337F76"/>
    <w:rsid w:val="00353BA7"/>
    <w:rsid w:val="00360265"/>
    <w:rsid w:val="003724FE"/>
    <w:rsid w:val="0037510E"/>
    <w:rsid w:val="00382622"/>
    <w:rsid w:val="003A7AA7"/>
    <w:rsid w:val="003D54C2"/>
    <w:rsid w:val="00405863"/>
    <w:rsid w:val="00410BE9"/>
    <w:rsid w:val="0041183F"/>
    <w:rsid w:val="00451E7B"/>
    <w:rsid w:val="00465FA2"/>
    <w:rsid w:val="00486B4E"/>
    <w:rsid w:val="004B46C0"/>
    <w:rsid w:val="004C0971"/>
    <w:rsid w:val="004D6DEC"/>
    <w:rsid w:val="004E3A1D"/>
    <w:rsid w:val="004F43D1"/>
    <w:rsid w:val="00512C0D"/>
    <w:rsid w:val="005463AC"/>
    <w:rsid w:val="00597727"/>
    <w:rsid w:val="005B3C1A"/>
    <w:rsid w:val="005B614D"/>
    <w:rsid w:val="005D7E07"/>
    <w:rsid w:val="005F4D74"/>
    <w:rsid w:val="006223F9"/>
    <w:rsid w:val="00633564"/>
    <w:rsid w:val="00663C13"/>
    <w:rsid w:val="00663DA2"/>
    <w:rsid w:val="006856C3"/>
    <w:rsid w:val="006B7B7A"/>
    <w:rsid w:val="006D65B4"/>
    <w:rsid w:val="00705C5A"/>
    <w:rsid w:val="007218D2"/>
    <w:rsid w:val="00763772"/>
    <w:rsid w:val="007750F4"/>
    <w:rsid w:val="00792E1B"/>
    <w:rsid w:val="007B5F87"/>
    <w:rsid w:val="007C1045"/>
    <w:rsid w:val="007D472C"/>
    <w:rsid w:val="007D6703"/>
    <w:rsid w:val="007F2F12"/>
    <w:rsid w:val="00844665"/>
    <w:rsid w:val="0084515C"/>
    <w:rsid w:val="008478AA"/>
    <w:rsid w:val="00890E6E"/>
    <w:rsid w:val="008D228D"/>
    <w:rsid w:val="008D44FC"/>
    <w:rsid w:val="00903C88"/>
    <w:rsid w:val="0090698A"/>
    <w:rsid w:val="00961FF9"/>
    <w:rsid w:val="00963BC4"/>
    <w:rsid w:val="00971DFA"/>
    <w:rsid w:val="00973E47"/>
    <w:rsid w:val="00990E8E"/>
    <w:rsid w:val="0099333F"/>
    <w:rsid w:val="00995332"/>
    <w:rsid w:val="0099553A"/>
    <w:rsid w:val="00995E72"/>
    <w:rsid w:val="009D0D47"/>
    <w:rsid w:val="009D1789"/>
    <w:rsid w:val="00A01D63"/>
    <w:rsid w:val="00A13685"/>
    <w:rsid w:val="00A25840"/>
    <w:rsid w:val="00A40AB9"/>
    <w:rsid w:val="00A4514E"/>
    <w:rsid w:val="00A511F4"/>
    <w:rsid w:val="00A8447F"/>
    <w:rsid w:val="00A931D6"/>
    <w:rsid w:val="00AC2207"/>
    <w:rsid w:val="00AF715B"/>
    <w:rsid w:val="00B13713"/>
    <w:rsid w:val="00B37D92"/>
    <w:rsid w:val="00B41407"/>
    <w:rsid w:val="00B514E1"/>
    <w:rsid w:val="00B626AB"/>
    <w:rsid w:val="00B77921"/>
    <w:rsid w:val="00BD67D4"/>
    <w:rsid w:val="00BE27BC"/>
    <w:rsid w:val="00BE58C5"/>
    <w:rsid w:val="00C37489"/>
    <w:rsid w:val="00C47DA7"/>
    <w:rsid w:val="00C60824"/>
    <w:rsid w:val="00C62F7E"/>
    <w:rsid w:val="00C81D16"/>
    <w:rsid w:val="00C827C3"/>
    <w:rsid w:val="00C87080"/>
    <w:rsid w:val="00C950E4"/>
    <w:rsid w:val="00CD7C09"/>
    <w:rsid w:val="00CE0A4A"/>
    <w:rsid w:val="00CF73D6"/>
    <w:rsid w:val="00CF7F7C"/>
    <w:rsid w:val="00D30826"/>
    <w:rsid w:val="00D361AB"/>
    <w:rsid w:val="00D468A5"/>
    <w:rsid w:val="00D66D69"/>
    <w:rsid w:val="00D84E53"/>
    <w:rsid w:val="00DB0387"/>
    <w:rsid w:val="00DB646B"/>
    <w:rsid w:val="00DE1C91"/>
    <w:rsid w:val="00DF0C70"/>
    <w:rsid w:val="00DF3C6E"/>
    <w:rsid w:val="00DF5845"/>
    <w:rsid w:val="00DF5F7F"/>
    <w:rsid w:val="00E1450C"/>
    <w:rsid w:val="00E1599A"/>
    <w:rsid w:val="00E16823"/>
    <w:rsid w:val="00E52BA3"/>
    <w:rsid w:val="00E562E6"/>
    <w:rsid w:val="00E80544"/>
    <w:rsid w:val="00E820D9"/>
    <w:rsid w:val="00E92356"/>
    <w:rsid w:val="00E92CAA"/>
    <w:rsid w:val="00E9773C"/>
    <w:rsid w:val="00EC121D"/>
    <w:rsid w:val="00EF148E"/>
    <w:rsid w:val="00F10FAD"/>
    <w:rsid w:val="00F234F0"/>
    <w:rsid w:val="00F3006A"/>
    <w:rsid w:val="00F94910"/>
    <w:rsid w:val="00FA641E"/>
    <w:rsid w:val="00FC0B56"/>
    <w:rsid w:val="00FC334E"/>
    <w:rsid w:val="00FC7219"/>
    <w:rsid w:val="00FD52F3"/>
    <w:rsid w:val="00FE7186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C57"/>
  <w15:docId w15:val="{9002FBA6-E6B5-4157-A431-B20CD3F7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449E-3A27-48D7-B1E0-989536AA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ashametova2002@outlook.com</cp:lastModifiedBy>
  <cp:revision>5</cp:revision>
  <cp:lastPrinted>2023-08-14T11:14:00Z</cp:lastPrinted>
  <dcterms:created xsi:type="dcterms:W3CDTF">2023-08-20T13:51:00Z</dcterms:created>
  <dcterms:modified xsi:type="dcterms:W3CDTF">2023-08-23T15:43:00Z</dcterms:modified>
</cp:coreProperties>
</file>