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C7" w:rsidRPr="00C126C7" w:rsidRDefault="00C126C7" w:rsidP="00C126C7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noProof/>
          <w:szCs w:val="24"/>
          <w:lang w:eastAsia="ru-RU"/>
        </w:rPr>
        <w:drawing>
          <wp:inline distT="0" distB="0" distL="0" distR="0" wp14:anchorId="5838CE1E" wp14:editId="16483C14">
            <wp:extent cx="4802505" cy="659765"/>
            <wp:effectExtent l="0" t="0" r="0" b="6985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Times New Roman"/>
          <w:szCs w:val="24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Times New Roman"/>
          <w:b/>
          <w:szCs w:val="24"/>
        </w:rPr>
      </w:pPr>
    </w:p>
    <w:p w:rsidR="00C126C7" w:rsidRDefault="00C126C7" w:rsidP="00C126C7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C126C7" w:rsidRPr="00C126C7" w:rsidRDefault="00C126C7" w:rsidP="00C126C7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C126C7" w:rsidRDefault="00C126C7" w:rsidP="00C126C7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Cs w:val="24"/>
        </w:rPr>
      </w:pPr>
      <w:r w:rsidRPr="00C126C7">
        <w:rPr>
          <w:rFonts w:ascii="Verdana" w:eastAsia="Times New Roman" w:hAnsi="Verdana" w:cs="Times New Roman"/>
          <w:b/>
          <w:szCs w:val="24"/>
        </w:rPr>
        <w:t>ПРЕСС - РЕЛИЗ №</w:t>
      </w:r>
      <w:r w:rsidR="00724342">
        <w:rPr>
          <w:rFonts w:ascii="Verdana" w:eastAsia="Times New Roman" w:hAnsi="Verdana" w:cs="Times New Roman"/>
          <w:b/>
          <w:szCs w:val="24"/>
        </w:rPr>
        <w:t>51</w:t>
      </w:r>
    </w:p>
    <w:p w:rsidR="00C126C7" w:rsidRPr="00C126C7" w:rsidRDefault="00C126C7" w:rsidP="00C126C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Cs w:val="24"/>
        </w:rPr>
      </w:pPr>
    </w:p>
    <w:p w:rsidR="00C126C7" w:rsidRPr="00C126C7" w:rsidRDefault="00C126C7" w:rsidP="00C126C7">
      <w:pPr>
        <w:spacing w:after="0" w:line="240" w:lineRule="auto"/>
        <w:jc w:val="center"/>
        <w:rPr>
          <w:rFonts w:ascii="Calibri" w:eastAsia="Calibri" w:hAnsi="Calibri" w:cs="Arial"/>
          <w:b/>
          <w:szCs w:val="24"/>
        </w:rPr>
      </w:pPr>
      <w:r w:rsidRPr="00C126C7">
        <w:rPr>
          <w:rFonts w:ascii="Calibri" w:eastAsia="Calibri" w:hAnsi="Calibri" w:cs="Arial"/>
          <w:b/>
          <w:szCs w:val="24"/>
        </w:rPr>
        <w:t xml:space="preserve">Совет Финансовой Стабильности и развитию финансового рынка (СФС) определил </w:t>
      </w:r>
    </w:p>
    <w:p w:rsidR="00C126C7" w:rsidRPr="00C126C7" w:rsidRDefault="00C126C7" w:rsidP="00C126C7">
      <w:pPr>
        <w:spacing w:after="0" w:line="240" w:lineRule="auto"/>
        <w:jc w:val="center"/>
        <w:rPr>
          <w:rFonts w:ascii="Calibri" w:eastAsia="Calibri" w:hAnsi="Calibri" w:cs="Arial"/>
          <w:b/>
          <w:szCs w:val="24"/>
        </w:rPr>
      </w:pPr>
      <w:r w:rsidRPr="00C126C7">
        <w:rPr>
          <w:rFonts w:ascii="Calibri" w:eastAsia="Calibri" w:hAnsi="Calibri" w:cs="Arial"/>
          <w:b/>
          <w:szCs w:val="24"/>
        </w:rPr>
        <w:t xml:space="preserve">конкретные шаги по </w:t>
      </w:r>
      <w:proofErr w:type="spellStart"/>
      <w:r w:rsidRPr="00C126C7">
        <w:rPr>
          <w:rFonts w:ascii="Calibri" w:eastAsia="Calibri" w:hAnsi="Calibri" w:cs="Arial"/>
          <w:b/>
          <w:szCs w:val="24"/>
        </w:rPr>
        <w:t>контрцикличному</w:t>
      </w:r>
      <w:proofErr w:type="spellEnd"/>
      <w:r w:rsidRPr="00C126C7">
        <w:rPr>
          <w:rFonts w:ascii="Calibri" w:eastAsia="Calibri" w:hAnsi="Calibri" w:cs="Arial"/>
          <w:b/>
          <w:szCs w:val="24"/>
        </w:rPr>
        <w:t xml:space="preserve"> регулированию банковского сектора</w:t>
      </w:r>
    </w:p>
    <w:p w:rsidR="00C126C7" w:rsidRPr="00C126C7" w:rsidRDefault="00C126C7" w:rsidP="00C126C7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C126C7" w:rsidRPr="00C126C7" w:rsidRDefault="00C126C7" w:rsidP="00C126C7">
      <w:pPr>
        <w:spacing w:after="0" w:line="240" w:lineRule="auto"/>
        <w:rPr>
          <w:rFonts w:ascii="Verdana" w:eastAsia="Times New Roman" w:hAnsi="Verdana" w:cs="Times New Roman"/>
          <w:szCs w:val="24"/>
        </w:rPr>
      </w:pPr>
      <w:r>
        <w:rPr>
          <w:rFonts w:ascii="Verdana" w:eastAsia="Times New Roman" w:hAnsi="Verdana" w:cs="Times New Roman"/>
          <w:szCs w:val="24"/>
        </w:rPr>
        <w:t>9 октября</w:t>
      </w:r>
      <w:r w:rsidRPr="00C126C7">
        <w:rPr>
          <w:rFonts w:ascii="Verdana" w:eastAsia="Times New Roman" w:hAnsi="Verdana" w:cs="Times New Roman"/>
          <w:szCs w:val="24"/>
        </w:rPr>
        <w:t xml:space="preserve"> 2015 года                                                                              г. Алматы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Times New Roman"/>
          <w:szCs w:val="24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 xml:space="preserve">Национальный Банк РК сообщает, что 25 сентября текущего года на заседании совета Финансовой Стабильности были одобрены основные подходы по </w:t>
      </w:r>
      <w:proofErr w:type="spellStart"/>
      <w:r w:rsidRPr="00C126C7">
        <w:rPr>
          <w:rFonts w:ascii="Calibri" w:eastAsia="Calibri" w:hAnsi="Calibri" w:cs="Arial"/>
          <w:szCs w:val="24"/>
        </w:rPr>
        <w:t>контрцикличному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регулированию банков второго уровня. Данный пакет мер представляет собой долгосрочную дорожную карту по ко</w:t>
      </w:r>
      <w:r w:rsidR="007618E2">
        <w:rPr>
          <w:rFonts w:ascii="Calibri" w:eastAsia="Calibri" w:hAnsi="Calibri" w:cs="Arial"/>
          <w:szCs w:val="24"/>
        </w:rPr>
        <w:t>мплексу регуляторных требований</w:t>
      </w:r>
      <w:r w:rsidRPr="00C126C7">
        <w:rPr>
          <w:rFonts w:ascii="Calibri" w:eastAsia="Calibri" w:hAnsi="Calibri" w:cs="Arial"/>
          <w:szCs w:val="24"/>
        </w:rPr>
        <w:t xml:space="preserve"> и является логическим продолжением и дополнением ранее принятой Национальным Банком РК </w:t>
      </w:r>
      <w:r w:rsidRPr="00C126C7">
        <w:rPr>
          <w:rFonts w:ascii="Calibri" w:eastAsia="Calibri" w:hAnsi="Calibri" w:cs="Arial"/>
          <w:szCs w:val="24"/>
          <w:lang w:val="kk-KZ"/>
        </w:rPr>
        <w:t xml:space="preserve">программы </w:t>
      </w:r>
      <w:r w:rsidRPr="00C126C7">
        <w:rPr>
          <w:rFonts w:ascii="Calibri" w:eastAsia="Calibri" w:hAnsi="Calibri" w:cs="Arial"/>
          <w:szCs w:val="24"/>
        </w:rPr>
        <w:t>«10 ШАГОВ НАВСТРЕЧУ БАНКАМ ВТОРОГО УРОВНЯ».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 xml:space="preserve">Конкретные шаги по переходу на принципы </w:t>
      </w:r>
      <w:proofErr w:type="spellStart"/>
      <w:r w:rsidRPr="00C126C7">
        <w:rPr>
          <w:rFonts w:ascii="Calibri" w:eastAsia="Calibri" w:hAnsi="Calibri" w:cs="Arial"/>
          <w:szCs w:val="24"/>
        </w:rPr>
        <w:t>контрцикличного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регулирования предварительно сформулированы постоянно действующей специальной Рабочей группой «По вопросам банковского регулирования» при Национальном Банке РК, в состав которой входят представители регулятора, Ассоциации финансистов Казахст</w:t>
      </w:r>
      <w:bookmarkStart w:id="0" w:name="_GoBack"/>
      <w:bookmarkEnd w:id="0"/>
      <w:r w:rsidRPr="00C126C7">
        <w:rPr>
          <w:rFonts w:ascii="Calibri" w:eastAsia="Calibri" w:hAnsi="Calibri" w:cs="Arial"/>
          <w:szCs w:val="24"/>
        </w:rPr>
        <w:t xml:space="preserve">ана и банков второго уровня. 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 xml:space="preserve">Дорожная карта по переходу на </w:t>
      </w:r>
      <w:proofErr w:type="spellStart"/>
      <w:r w:rsidRPr="00C126C7">
        <w:rPr>
          <w:rFonts w:ascii="Calibri" w:eastAsia="Calibri" w:hAnsi="Calibri" w:cs="Arial"/>
          <w:szCs w:val="24"/>
        </w:rPr>
        <w:t>контрцикличное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регулирование является ответом на текущие вызовы экономики Казахстана. Концепция </w:t>
      </w:r>
      <w:proofErr w:type="spellStart"/>
      <w:r w:rsidRPr="00C126C7">
        <w:rPr>
          <w:rFonts w:ascii="Calibri" w:eastAsia="Calibri" w:hAnsi="Calibri" w:cs="Arial"/>
          <w:szCs w:val="24"/>
        </w:rPr>
        <w:t>контрцикличного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</w:t>
      </w:r>
      <w:proofErr w:type="spellStart"/>
      <w:r w:rsidRPr="00C126C7">
        <w:rPr>
          <w:rFonts w:ascii="Calibri" w:eastAsia="Calibri" w:hAnsi="Calibri" w:cs="Arial"/>
          <w:szCs w:val="24"/>
        </w:rPr>
        <w:t>пруденциального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регулирования предусматривает (1) сохранение генерального направления на международные стандарты </w:t>
      </w:r>
      <w:proofErr w:type="spellStart"/>
      <w:r w:rsidRPr="00C126C7">
        <w:rPr>
          <w:rFonts w:ascii="Calibri" w:eastAsia="Calibri" w:hAnsi="Calibri" w:cs="Arial"/>
          <w:szCs w:val="24"/>
        </w:rPr>
        <w:t>Базельского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комитета по банковскому надзору  (Базель III) к 2021 году и (2) в переходный период - оптимизацию регуляторного воздействия с учетом экономического цикла с целью решения следующих задач:</w:t>
      </w:r>
    </w:p>
    <w:p w:rsidR="00C126C7" w:rsidRPr="00C126C7" w:rsidRDefault="00C126C7" w:rsidP="00C126C7">
      <w:pPr>
        <w:numPr>
          <w:ilvl w:val="0"/>
          <w:numId w:val="1"/>
        </w:numPr>
        <w:spacing w:after="0" w:line="240" w:lineRule="auto"/>
        <w:jc w:val="left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>обеспечение бесперебойного оказания банковских услуг;</w:t>
      </w:r>
    </w:p>
    <w:p w:rsidR="00C126C7" w:rsidRPr="00C126C7" w:rsidRDefault="00C126C7" w:rsidP="00C126C7">
      <w:pPr>
        <w:numPr>
          <w:ilvl w:val="0"/>
          <w:numId w:val="1"/>
        </w:numPr>
        <w:spacing w:after="0" w:line="240" w:lineRule="auto"/>
        <w:jc w:val="left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>амортизация шоков экономики и волатильности на финансовых рынках;</w:t>
      </w:r>
    </w:p>
    <w:p w:rsidR="00C126C7" w:rsidRPr="00C126C7" w:rsidRDefault="00C126C7" w:rsidP="00C126C7">
      <w:pPr>
        <w:numPr>
          <w:ilvl w:val="0"/>
          <w:numId w:val="1"/>
        </w:numPr>
        <w:spacing w:after="0" w:line="240" w:lineRule="auto"/>
        <w:jc w:val="left"/>
        <w:rPr>
          <w:rFonts w:ascii="Calibri" w:eastAsia="Calibri" w:hAnsi="Calibri" w:cs="Arial"/>
          <w:szCs w:val="24"/>
        </w:rPr>
      </w:pPr>
      <w:proofErr w:type="spellStart"/>
      <w:r w:rsidRPr="00C126C7">
        <w:rPr>
          <w:rFonts w:ascii="Calibri" w:eastAsia="Calibri" w:hAnsi="Calibri" w:cs="Arial"/>
          <w:szCs w:val="24"/>
        </w:rPr>
        <w:t>дедолларизация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экономики, увеличение внутреннего кредитования в тенге;</w:t>
      </w:r>
    </w:p>
    <w:p w:rsidR="00C126C7" w:rsidRDefault="00C126C7" w:rsidP="00C126C7">
      <w:pPr>
        <w:numPr>
          <w:ilvl w:val="0"/>
          <w:numId w:val="1"/>
        </w:numPr>
        <w:spacing w:after="0" w:line="240" w:lineRule="auto"/>
        <w:jc w:val="left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>снижение долговой нагрузки экономических субъектов и населения.</w:t>
      </w:r>
    </w:p>
    <w:p w:rsidR="00C126C7" w:rsidRPr="00C126C7" w:rsidRDefault="00C126C7" w:rsidP="007618E2">
      <w:pPr>
        <w:spacing w:after="0" w:line="240" w:lineRule="auto"/>
        <w:ind w:left="1429"/>
        <w:jc w:val="left"/>
        <w:rPr>
          <w:rFonts w:ascii="Calibri" w:eastAsia="Calibri" w:hAnsi="Calibri" w:cs="Arial"/>
          <w:szCs w:val="24"/>
        </w:rPr>
      </w:pPr>
    </w:p>
    <w:p w:rsidR="00C126C7" w:rsidRPr="00C126C7" w:rsidRDefault="00C126C7" w:rsidP="00C126C7">
      <w:pPr>
        <w:spacing w:after="0" w:line="240" w:lineRule="auto"/>
        <w:ind w:firstLine="708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>Основными направлениями данной концепции являются: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 xml:space="preserve">1. Корректировка программы перехода на Базель III путем сохранения в 2016 году всех минимальных требований к достаточности собственного капитала, включая буферы собственного капитала на уровне 2015 года. Рассмотрен вопрос увеличения переходного периода на стандарты Базель III до 2021 года и снижения </w:t>
      </w:r>
      <w:proofErr w:type="spellStart"/>
      <w:r w:rsidRPr="00C126C7">
        <w:rPr>
          <w:rFonts w:ascii="Calibri" w:eastAsia="Calibri" w:hAnsi="Calibri" w:cs="Arial"/>
          <w:szCs w:val="24"/>
        </w:rPr>
        <w:t>таргетируемого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значения достаточности собственного капитала с 12% до 10,5%.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>С 2017 года Национальным Банком РК будет введена надзорная надбавка (</w:t>
      </w:r>
      <w:r w:rsidRPr="00C126C7">
        <w:rPr>
          <w:rFonts w:ascii="Calibri" w:eastAsia="Calibri" w:hAnsi="Calibri" w:cs="Arial"/>
          <w:szCs w:val="24"/>
          <w:lang w:val="en-US"/>
        </w:rPr>
        <w:t>capital</w:t>
      </w:r>
      <w:r w:rsidRPr="00C126C7">
        <w:rPr>
          <w:rFonts w:ascii="Calibri" w:eastAsia="Calibri" w:hAnsi="Calibri" w:cs="Arial"/>
          <w:szCs w:val="24"/>
        </w:rPr>
        <w:t xml:space="preserve"> </w:t>
      </w:r>
      <w:r w:rsidRPr="00C126C7">
        <w:rPr>
          <w:rFonts w:ascii="Calibri" w:eastAsia="Calibri" w:hAnsi="Calibri" w:cs="Arial"/>
          <w:szCs w:val="24"/>
          <w:lang w:val="en-US"/>
        </w:rPr>
        <w:t>add</w:t>
      </w:r>
      <w:r w:rsidRPr="00C126C7">
        <w:rPr>
          <w:rFonts w:ascii="Calibri" w:eastAsia="Calibri" w:hAnsi="Calibri" w:cs="Arial"/>
          <w:szCs w:val="24"/>
        </w:rPr>
        <w:t>-</w:t>
      </w:r>
      <w:r w:rsidRPr="00C126C7">
        <w:rPr>
          <w:rFonts w:ascii="Calibri" w:eastAsia="Calibri" w:hAnsi="Calibri" w:cs="Arial"/>
          <w:szCs w:val="24"/>
          <w:lang w:val="en-US"/>
        </w:rPr>
        <w:t>on</w:t>
      </w:r>
      <w:r w:rsidRPr="00C126C7">
        <w:rPr>
          <w:rFonts w:ascii="Calibri" w:eastAsia="Calibri" w:hAnsi="Calibri" w:cs="Arial"/>
          <w:szCs w:val="24"/>
        </w:rPr>
        <w:t>) дополнительно к значению достаточности собственного капитала на основе практики и правил Европейского Союза.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 xml:space="preserve">Для сохранения уровня текущей ликвидности в банковском секторе в безопасной зоне и создания дополнительных стимулов для банков второго уровня по привлечению финансирования из более стабильных источников, с 2017 года будут поэтапно введены новые стандарты Базель III по ликвидности (NSFR и LCR). 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 xml:space="preserve">2. Предусматривается корректировка действующих условий соблюдения </w:t>
      </w:r>
      <w:proofErr w:type="spellStart"/>
      <w:r w:rsidRPr="00C126C7">
        <w:rPr>
          <w:rFonts w:ascii="Calibri" w:eastAsia="Calibri" w:hAnsi="Calibri" w:cs="Arial"/>
          <w:szCs w:val="24"/>
        </w:rPr>
        <w:t>пруденциальных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нормативов, в том числе одобрено введение 6 месячного срока для приведения в соответствие </w:t>
      </w:r>
      <w:r w:rsidRPr="00C126C7">
        <w:rPr>
          <w:rFonts w:ascii="Calibri" w:eastAsia="Calibri" w:hAnsi="Calibri" w:cs="Arial"/>
          <w:szCs w:val="24"/>
        </w:rPr>
        <w:lastRenderedPageBreak/>
        <w:t xml:space="preserve">отдельных </w:t>
      </w:r>
      <w:proofErr w:type="spellStart"/>
      <w:r w:rsidRPr="00C126C7">
        <w:rPr>
          <w:rFonts w:ascii="Calibri" w:eastAsia="Calibri" w:hAnsi="Calibri" w:cs="Arial"/>
          <w:szCs w:val="24"/>
        </w:rPr>
        <w:t>пруденциальных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нормативов, если их нарушение вызвано увеличением рыночного обменного курса тенге на более чем 10%.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 w:rsidRPr="00C126C7">
        <w:rPr>
          <w:rFonts w:ascii="Calibri" w:eastAsia="Calibri" w:hAnsi="Calibri" w:cs="Arial"/>
          <w:szCs w:val="24"/>
        </w:rPr>
        <w:t xml:space="preserve">3. С 2017 года будет введен новый международный стандарт понятия «неработающий кредит». Определение «неработающий кредит» будет расширено путем включения в него реструктурированных кредитов. </w:t>
      </w:r>
      <w:r>
        <w:rPr>
          <w:rFonts w:ascii="Calibri" w:eastAsia="Calibri" w:hAnsi="Calibri" w:cs="Arial"/>
          <w:szCs w:val="24"/>
        </w:rPr>
        <w:t>При этом</w:t>
      </w:r>
      <w:r w:rsidRPr="00C126C7">
        <w:rPr>
          <w:rFonts w:ascii="Calibri" w:eastAsia="Calibri" w:hAnsi="Calibri" w:cs="Arial"/>
          <w:szCs w:val="24"/>
        </w:rPr>
        <w:t xml:space="preserve"> в течение последующих двух лет показатель неработающих кредитов продолжит выполнять функцию индикатора раннего реагирования, а с 2018 года – роль </w:t>
      </w:r>
      <w:proofErr w:type="spellStart"/>
      <w:r w:rsidRPr="00C126C7">
        <w:rPr>
          <w:rFonts w:ascii="Calibri" w:eastAsia="Calibri" w:hAnsi="Calibri" w:cs="Arial"/>
          <w:szCs w:val="24"/>
        </w:rPr>
        <w:t>пруденциального</w:t>
      </w:r>
      <w:proofErr w:type="spellEnd"/>
      <w:r w:rsidRPr="00C126C7">
        <w:rPr>
          <w:rFonts w:ascii="Calibri" w:eastAsia="Calibri" w:hAnsi="Calibri" w:cs="Arial"/>
          <w:szCs w:val="24"/>
        </w:rPr>
        <w:t xml:space="preserve"> норматива.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Calibri" w:hAnsi="Calibri" w:cs="Arial"/>
          <w:szCs w:val="24"/>
        </w:rPr>
      </w:pPr>
      <w:r>
        <w:rPr>
          <w:rFonts w:ascii="Calibri" w:eastAsia="Calibri" w:hAnsi="Calibri" w:cs="Arial"/>
          <w:szCs w:val="24"/>
        </w:rPr>
        <w:t>В целом</w:t>
      </w:r>
      <w:r w:rsidRPr="00C126C7">
        <w:rPr>
          <w:rFonts w:ascii="Calibri" w:eastAsia="Calibri" w:hAnsi="Calibri" w:cs="Arial"/>
          <w:szCs w:val="24"/>
        </w:rPr>
        <w:t xml:space="preserve"> СФС одобрено предложение по переносу срока снижения доли неработающих кредитов до уровня менее 10% к 2018 году.</w:t>
      </w: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rPr>
          <w:rFonts w:ascii="Calibri" w:eastAsia="Times New Roman" w:hAnsi="Calibri" w:cs="Calibri"/>
          <w:szCs w:val="24"/>
          <w:lang w:eastAsia="ru-RU"/>
        </w:rPr>
      </w:pPr>
    </w:p>
    <w:p w:rsidR="00C126C7" w:rsidRPr="00C126C7" w:rsidRDefault="00C126C7" w:rsidP="00C126C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</w:rPr>
      </w:pPr>
      <w:r w:rsidRPr="00C126C7">
        <w:rPr>
          <w:rFonts w:ascii="Calibri" w:eastAsia="Times New Roman" w:hAnsi="Calibri" w:cs="Times New Roman"/>
          <w:sz w:val="22"/>
        </w:rPr>
        <w:t>Более подробную информацию можно получить по телефонам:</w:t>
      </w:r>
    </w:p>
    <w:p w:rsidR="00C126C7" w:rsidRPr="00C126C7" w:rsidRDefault="00C126C7" w:rsidP="00C126C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r w:rsidRPr="00C126C7">
        <w:rPr>
          <w:rFonts w:ascii="Calibri" w:eastAsia="Times New Roman" w:hAnsi="Calibri" w:cs="Times New Roman"/>
          <w:sz w:val="22"/>
          <w:lang w:val="en-US"/>
        </w:rPr>
        <w:t>+7 (727) 270 46 39</w:t>
      </w:r>
    </w:p>
    <w:p w:rsidR="00C126C7" w:rsidRPr="00C126C7" w:rsidRDefault="00C126C7" w:rsidP="00C126C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r w:rsidRPr="00C126C7">
        <w:rPr>
          <w:rFonts w:ascii="Calibri" w:eastAsia="Times New Roman" w:hAnsi="Calibri" w:cs="Times New Roman"/>
          <w:sz w:val="22"/>
          <w:lang w:val="en-US"/>
        </w:rPr>
        <w:t>+7 (727) 270 45 85</w:t>
      </w:r>
    </w:p>
    <w:p w:rsidR="00C126C7" w:rsidRPr="00C126C7" w:rsidRDefault="00C126C7" w:rsidP="00C126C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r w:rsidRPr="00C126C7">
        <w:rPr>
          <w:rFonts w:ascii="Calibri" w:eastAsia="Times New Roman" w:hAnsi="Calibri" w:cs="Times New Roman"/>
          <w:sz w:val="22"/>
          <w:lang w:val="en-US"/>
        </w:rPr>
        <w:t>+7 (727) 330 24 97</w:t>
      </w:r>
    </w:p>
    <w:p w:rsidR="00C126C7" w:rsidRPr="00C126C7" w:rsidRDefault="00C126C7" w:rsidP="00C126C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proofErr w:type="gramStart"/>
      <w:r w:rsidRPr="00C126C7">
        <w:rPr>
          <w:rFonts w:ascii="Calibri" w:eastAsia="Times New Roman" w:hAnsi="Calibri" w:cs="Times New Roman"/>
          <w:sz w:val="22"/>
          <w:lang w:val="en-US"/>
        </w:rPr>
        <w:t>e-mail</w:t>
      </w:r>
      <w:proofErr w:type="gramEnd"/>
      <w:r w:rsidRPr="00C126C7">
        <w:rPr>
          <w:rFonts w:ascii="Calibri" w:eastAsia="Times New Roman" w:hAnsi="Calibri" w:cs="Times New Roman"/>
          <w:sz w:val="22"/>
          <w:lang w:val="en-US"/>
        </w:rPr>
        <w:t>: press@nationalbank.kz</w:t>
      </w:r>
    </w:p>
    <w:p w:rsidR="009D36B5" w:rsidRPr="007618E2" w:rsidRDefault="00C126C7" w:rsidP="00C126C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r w:rsidRPr="00C126C7">
        <w:rPr>
          <w:rFonts w:ascii="Calibri" w:eastAsia="Times New Roman" w:hAnsi="Calibri" w:cs="Times New Roman"/>
          <w:sz w:val="22"/>
          <w:lang w:val="en-US"/>
        </w:rPr>
        <w:t>www.nationalbank.kz</w:t>
      </w:r>
    </w:p>
    <w:sectPr w:rsidR="009D36B5" w:rsidRPr="007618E2" w:rsidSect="00B3052E">
      <w:headerReference w:type="default" r:id="rId9"/>
      <w:pgSz w:w="11906" w:h="16838"/>
      <w:pgMar w:top="567" w:right="709" w:bottom="709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02" w:rsidRDefault="00FC7D02">
      <w:pPr>
        <w:spacing w:after="0" w:line="240" w:lineRule="auto"/>
      </w:pPr>
      <w:r>
        <w:separator/>
      </w:r>
    </w:p>
  </w:endnote>
  <w:endnote w:type="continuationSeparator" w:id="0">
    <w:p w:rsidR="00FC7D02" w:rsidRDefault="00FC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02" w:rsidRDefault="00FC7D02">
      <w:pPr>
        <w:spacing w:after="0" w:line="240" w:lineRule="auto"/>
      </w:pPr>
      <w:r>
        <w:separator/>
      </w:r>
    </w:p>
  </w:footnote>
  <w:footnote w:type="continuationSeparator" w:id="0">
    <w:p w:rsidR="00FC7D02" w:rsidRDefault="00FC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E3" w:rsidRDefault="00FC7D02">
    <w:pPr>
      <w:pStyle w:val="a3"/>
      <w:rPr>
        <w:lang w:val="en-US"/>
      </w:rPr>
    </w:pPr>
  </w:p>
  <w:p w:rsidR="006B70E3" w:rsidRPr="00B3052E" w:rsidRDefault="00FC7D0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37E4"/>
    <w:multiLevelType w:val="hybridMultilevel"/>
    <w:tmpl w:val="CA96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C7"/>
    <w:rsid w:val="00184EC7"/>
    <w:rsid w:val="00724342"/>
    <w:rsid w:val="007618E2"/>
    <w:rsid w:val="009D36B5"/>
    <w:rsid w:val="00C126C7"/>
    <w:rsid w:val="00C2219E"/>
    <w:rsid w:val="00EF1FEB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6C7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126C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6C7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126C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5</cp:revision>
  <dcterms:created xsi:type="dcterms:W3CDTF">2015-10-09T10:08:00Z</dcterms:created>
  <dcterms:modified xsi:type="dcterms:W3CDTF">2015-10-09T10:57:00Z</dcterms:modified>
</cp:coreProperties>
</file>